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56CB8" w14:textId="28401014" w:rsidR="00ED167C" w:rsidRPr="00FB1543" w:rsidRDefault="00ED167C" w:rsidP="00ED167C">
      <w:pPr>
        <w:jc w:val="center"/>
        <w:rPr>
          <w:b/>
          <w:sz w:val="24"/>
          <w:szCs w:val="24"/>
        </w:rPr>
      </w:pPr>
      <w:r w:rsidRPr="00FB1543">
        <w:rPr>
          <w:b/>
          <w:sz w:val="24"/>
          <w:szCs w:val="24"/>
        </w:rPr>
        <w:t>ASSESSORE LATRONICO</w:t>
      </w:r>
    </w:p>
    <w:p w14:paraId="1FAF67C9" w14:textId="77777777" w:rsidR="00ED167C" w:rsidRPr="00FB1543" w:rsidRDefault="00ED167C" w:rsidP="00ED167C">
      <w:pPr>
        <w:jc w:val="center"/>
        <w:rPr>
          <w:b/>
          <w:sz w:val="24"/>
          <w:szCs w:val="24"/>
        </w:rPr>
      </w:pPr>
    </w:p>
    <w:p w14:paraId="0FDEC8D1" w14:textId="3B5FA2DE" w:rsidR="00ED167C" w:rsidRPr="00FB1543" w:rsidRDefault="00ED167C" w:rsidP="00ED167C">
      <w:pPr>
        <w:jc w:val="center"/>
        <w:rPr>
          <w:b/>
          <w:sz w:val="24"/>
          <w:szCs w:val="24"/>
        </w:rPr>
      </w:pPr>
      <w:r w:rsidRPr="00FB1543">
        <w:rPr>
          <w:b/>
          <w:sz w:val="24"/>
          <w:szCs w:val="24"/>
        </w:rPr>
        <w:t>RENDICONTO ATTIVITA’ DG SALUTE E POLITICHE DELLA PERSONA</w:t>
      </w:r>
      <w:r w:rsidR="007453B0" w:rsidRPr="00FB1543">
        <w:rPr>
          <w:b/>
          <w:sz w:val="24"/>
          <w:szCs w:val="24"/>
        </w:rPr>
        <w:t xml:space="preserve"> E STAZIONE UNICA APPALTANTE</w:t>
      </w:r>
    </w:p>
    <w:p w14:paraId="605E5A84" w14:textId="4947801D" w:rsidR="007453B0" w:rsidRPr="00FB1543" w:rsidRDefault="00FB1543" w:rsidP="004E1BF9">
      <w:pPr>
        <w:jc w:val="center"/>
        <w:rPr>
          <w:b/>
          <w:i/>
          <w:sz w:val="24"/>
          <w:szCs w:val="24"/>
        </w:rPr>
      </w:pPr>
      <w:r w:rsidRPr="00FB1543">
        <w:rPr>
          <w:b/>
          <w:i/>
          <w:sz w:val="24"/>
          <w:szCs w:val="24"/>
        </w:rPr>
        <w:t xml:space="preserve">18 </w:t>
      </w:r>
      <w:r w:rsidR="00C72E72" w:rsidRPr="00FB1543">
        <w:rPr>
          <w:b/>
          <w:i/>
          <w:sz w:val="24"/>
          <w:szCs w:val="24"/>
        </w:rPr>
        <w:t>FEBBRAIO 2025</w:t>
      </w:r>
    </w:p>
    <w:p w14:paraId="0DBBA441" w14:textId="77777777" w:rsidR="004E1BF9" w:rsidRDefault="004E1BF9" w:rsidP="00F70766">
      <w:pPr>
        <w:rPr>
          <w:rFonts w:ascii="Aptos" w:hAnsi="Aptos"/>
          <w:b/>
        </w:rPr>
      </w:pPr>
    </w:p>
    <w:p w14:paraId="4265C53E" w14:textId="5D89E24E" w:rsidR="00F70766" w:rsidRPr="00EC5A23" w:rsidRDefault="00F70766" w:rsidP="00F70766">
      <w:pPr>
        <w:rPr>
          <w:rFonts w:ascii="Aptos" w:hAnsi="Aptos"/>
          <w:b/>
        </w:rPr>
      </w:pPr>
      <w:r w:rsidRPr="00EC5A23">
        <w:rPr>
          <w:rFonts w:ascii="Aptos" w:hAnsi="Aptos"/>
          <w:b/>
        </w:rPr>
        <w:t>SITUAZIONE FINANZIARIA RELATIVA AL CE IV TRIMESTRE 2024</w:t>
      </w:r>
    </w:p>
    <w:p w14:paraId="78A5FBAC" w14:textId="4D09809C" w:rsidR="00F70766" w:rsidRPr="00EC5A23" w:rsidRDefault="00F70766" w:rsidP="00F70766">
      <w:pPr>
        <w:spacing w:after="0" w:line="240" w:lineRule="auto"/>
        <w:jc w:val="both"/>
        <w:rPr>
          <w:rFonts w:ascii="Aptos" w:hAnsi="Aptos"/>
        </w:rPr>
      </w:pPr>
      <w:r w:rsidRPr="00EC5A23">
        <w:rPr>
          <w:rFonts w:ascii="Aptos" w:hAnsi="Aptos"/>
        </w:rPr>
        <w:t>Con Delibera C</w:t>
      </w:r>
      <w:r w:rsidR="00D93360">
        <w:rPr>
          <w:rFonts w:ascii="Aptos" w:hAnsi="Aptos"/>
        </w:rPr>
        <w:t>IPES</w:t>
      </w:r>
      <w:r w:rsidRPr="00EC5A23">
        <w:rPr>
          <w:rFonts w:ascii="Aptos" w:hAnsi="Aptos"/>
        </w:rPr>
        <w:t xml:space="preserve"> del 19 dicembre 2024 è stato approvato il riparto del Fondo Sanitario 2024.</w:t>
      </w:r>
    </w:p>
    <w:p w14:paraId="12B4F338" w14:textId="75567095" w:rsidR="00F70766" w:rsidRPr="00EC5A23" w:rsidRDefault="00F70766" w:rsidP="00F70766">
      <w:pPr>
        <w:spacing w:after="0" w:line="240" w:lineRule="auto"/>
        <w:jc w:val="both"/>
        <w:rPr>
          <w:rFonts w:ascii="Aptos" w:hAnsi="Aptos"/>
        </w:rPr>
      </w:pPr>
      <w:r w:rsidRPr="00EC5A23">
        <w:rPr>
          <w:rFonts w:ascii="Aptos" w:hAnsi="Aptos"/>
        </w:rPr>
        <w:t>Le risorse complessivamente assegnate alle aziende sanitarie, al netto di ulteriori risorse messe a disposizione delle stesse per programmi specifici (PNRR, PNES, Fondi comunitari, investimenti ex articolo 20 della Legge 67/88, ecc</w:t>
      </w:r>
      <w:r w:rsidR="00D93360">
        <w:rPr>
          <w:rFonts w:ascii="Aptos" w:hAnsi="Aptos"/>
        </w:rPr>
        <w:t>.</w:t>
      </w:r>
      <w:r w:rsidRPr="00EC5A23">
        <w:rPr>
          <w:rFonts w:ascii="Aptos" w:hAnsi="Aptos"/>
        </w:rPr>
        <w:t>) sono state pari a 1.211.567.403, come indicate nella tabella successiva.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8"/>
        <w:gridCol w:w="2342"/>
      </w:tblGrid>
      <w:tr w:rsidR="00F70766" w:rsidRPr="00EC5A23" w14:paraId="6EC7909D" w14:textId="77777777" w:rsidTr="0091206F">
        <w:trPr>
          <w:trHeight w:val="300"/>
          <w:jc w:val="center"/>
        </w:trPr>
        <w:tc>
          <w:tcPr>
            <w:tcW w:w="5308" w:type="dxa"/>
            <w:shd w:val="clear" w:color="auto" w:fill="auto"/>
            <w:vAlign w:val="bottom"/>
            <w:hideMark/>
          </w:tcPr>
          <w:p w14:paraId="268E7D6A"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Fabbisogno Regione Basilicata quota indistinta</w:t>
            </w:r>
          </w:p>
        </w:tc>
        <w:tc>
          <w:tcPr>
            <w:tcW w:w="2342" w:type="dxa"/>
            <w:shd w:val="clear" w:color="auto" w:fill="auto"/>
            <w:noWrap/>
            <w:vAlign w:val="bottom"/>
            <w:hideMark/>
          </w:tcPr>
          <w:p w14:paraId="436E0521"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1.180.399.775</w:t>
            </w:r>
          </w:p>
        </w:tc>
      </w:tr>
      <w:tr w:rsidR="00F70766" w:rsidRPr="00EC5A23" w14:paraId="0BC0BAA4" w14:textId="77777777" w:rsidTr="0091206F">
        <w:trPr>
          <w:trHeight w:val="300"/>
          <w:jc w:val="center"/>
        </w:trPr>
        <w:tc>
          <w:tcPr>
            <w:tcW w:w="5308" w:type="dxa"/>
            <w:shd w:val="clear" w:color="auto" w:fill="auto"/>
            <w:vAlign w:val="bottom"/>
            <w:hideMark/>
          </w:tcPr>
          <w:p w14:paraId="7903B7C4"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Entrate proprie</w:t>
            </w:r>
          </w:p>
        </w:tc>
        <w:tc>
          <w:tcPr>
            <w:tcW w:w="2342" w:type="dxa"/>
            <w:shd w:val="clear" w:color="auto" w:fill="auto"/>
            <w:noWrap/>
            <w:vAlign w:val="bottom"/>
            <w:hideMark/>
          </w:tcPr>
          <w:p w14:paraId="1EADC73A" w14:textId="77777777" w:rsidR="00F70766" w:rsidRPr="00EC5A23" w:rsidRDefault="00F70766" w:rsidP="001627A4">
            <w:pPr>
              <w:spacing w:after="0" w:line="240" w:lineRule="auto"/>
              <w:jc w:val="right"/>
              <w:rPr>
                <w:rFonts w:ascii="Aptos" w:eastAsia="Times New Roman" w:hAnsi="Aptos" w:cs="Calibri"/>
                <w:lang w:eastAsia="it-IT"/>
              </w:rPr>
            </w:pPr>
            <w:r w:rsidRPr="00EC5A23">
              <w:rPr>
                <w:rFonts w:ascii="Aptos" w:eastAsia="Times New Roman" w:hAnsi="Aptos" w:cs="Calibri"/>
                <w:lang w:eastAsia="it-IT"/>
              </w:rPr>
              <w:t>-16.926.354</w:t>
            </w:r>
          </w:p>
        </w:tc>
      </w:tr>
      <w:tr w:rsidR="00F70766" w:rsidRPr="00EC5A23" w14:paraId="4298676B" w14:textId="77777777" w:rsidTr="0091206F">
        <w:trPr>
          <w:trHeight w:val="300"/>
          <w:jc w:val="center"/>
        </w:trPr>
        <w:tc>
          <w:tcPr>
            <w:tcW w:w="5308" w:type="dxa"/>
            <w:shd w:val="clear" w:color="auto" w:fill="auto"/>
            <w:vAlign w:val="bottom"/>
            <w:hideMark/>
          </w:tcPr>
          <w:p w14:paraId="7BC4CC63"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PREMIALITA' 2024</w:t>
            </w:r>
          </w:p>
        </w:tc>
        <w:tc>
          <w:tcPr>
            <w:tcW w:w="2342" w:type="dxa"/>
            <w:shd w:val="clear" w:color="auto" w:fill="auto"/>
            <w:noWrap/>
            <w:vAlign w:val="bottom"/>
            <w:hideMark/>
          </w:tcPr>
          <w:p w14:paraId="47E1F59D" w14:textId="77777777" w:rsidR="00F70766" w:rsidRPr="00EC5A23" w:rsidRDefault="00F70766" w:rsidP="001627A4">
            <w:pPr>
              <w:spacing w:after="0" w:line="240" w:lineRule="auto"/>
              <w:jc w:val="right"/>
              <w:rPr>
                <w:rFonts w:ascii="Aptos" w:eastAsia="Times New Roman" w:hAnsi="Aptos" w:cs="Calibri"/>
                <w:lang w:eastAsia="it-IT"/>
              </w:rPr>
            </w:pPr>
            <w:r w:rsidRPr="00EC5A23">
              <w:rPr>
                <w:rFonts w:ascii="Aptos" w:eastAsia="Times New Roman" w:hAnsi="Aptos" w:cs="Calibri"/>
                <w:lang w:eastAsia="it-IT"/>
              </w:rPr>
              <w:t>7.500.000</w:t>
            </w:r>
          </w:p>
        </w:tc>
      </w:tr>
      <w:tr w:rsidR="00F70766" w:rsidRPr="00EC5A23" w14:paraId="4F4D540E" w14:textId="77777777" w:rsidTr="0091206F">
        <w:trPr>
          <w:trHeight w:val="300"/>
          <w:jc w:val="center"/>
        </w:trPr>
        <w:tc>
          <w:tcPr>
            <w:tcW w:w="5308" w:type="dxa"/>
            <w:shd w:val="clear" w:color="auto" w:fill="auto"/>
            <w:vAlign w:val="bottom"/>
            <w:hideMark/>
          </w:tcPr>
          <w:p w14:paraId="6BC45679" w14:textId="77777777" w:rsidR="00F70766" w:rsidRPr="00EC5A23" w:rsidRDefault="00F70766" w:rsidP="001627A4">
            <w:pPr>
              <w:spacing w:after="0" w:line="240" w:lineRule="auto"/>
              <w:rPr>
                <w:rFonts w:ascii="Aptos" w:eastAsia="Times New Roman" w:hAnsi="Aptos" w:cs="Calibri"/>
                <w:b/>
                <w:bCs/>
                <w:lang w:eastAsia="it-IT"/>
              </w:rPr>
            </w:pPr>
            <w:r w:rsidRPr="00EC5A23">
              <w:rPr>
                <w:rFonts w:ascii="Aptos" w:eastAsia="Times New Roman" w:hAnsi="Aptos" w:cs="Calibri"/>
                <w:b/>
                <w:bCs/>
                <w:lang w:eastAsia="it-IT"/>
              </w:rPr>
              <w:t>Tot. Indistinto Lordo Mobilità</w:t>
            </w:r>
          </w:p>
        </w:tc>
        <w:tc>
          <w:tcPr>
            <w:tcW w:w="2342" w:type="dxa"/>
            <w:shd w:val="clear" w:color="auto" w:fill="auto"/>
            <w:noWrap/>
            <w:vAlign w:val="bottom"/>
            <w:hideMark/>
          </w:tcPr>
          <w:p w14:paraId="663661A8"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1.170.973.421</w:t>
            </w:r>
          </w:p>
        </w:tc>
      </w:tr>
      <w:tr w:rsidR="00F70766" w:rsidRPr="00EC5A23" w14:paraId="6CE672C0" w14:textId="77777777" w:rsidTr="0091206F">
        <w:trPr>
          <w:trHeight w:val="300"/>
          <w:jc w:val="center"/>
        </w:trPr>
        <w:tc>
          <w:tcPr>
            <w:tcW w:w="5308" w:type="dxa"/>
            <w:shd w:val="clear" w:color="auto" w:fill="auto"/>
            <w:vAlign w:val="bottom"/>
            <w:hideMark/>
          </w:tcPr>
          <w:p w14:paraId="649E77BF"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 xml:space="preserve">Quote finalizzate </w:t>
            </w:r>
          </w:p>
        </w:tc>
        <w:tc>
          <w:tcPr>
            <w:tcW w:w="2342" w:type="dxa"/>
            <w:shd w:val="clear" w:color="auto" w:fill="auto"/>
            <w:noWrap/>
            <w:vAlign w:val="bottom"/>
            <w:hideMark/>
          </w:tcPr>
          <w:p w14:paraId="2E64D259" w14:textId="77777777" w:rsidR="00F70766" w:rsidRPr="00EC5A23" w:rsidRDefault="00F70766" w:rsidP="001627A4">
            <w:pPr>
              <w:spacing w:after="0" w:line="240" w:lineRule="auto"/>
              <w:jc w:val="right"/>
              <w:rPr>
                <w:rFonts w:ascii="Aptos" w:eastAsia="Times New Roman" w:hAnsi="Aptos" w:cs="Calibri"/>
                <w:lang w:eastAsia="it-IT"/>
              </w:rPr>
            </w:pPr>
            <w:r w:rsidRPr="00EC5A23">
              <w:rPr>
                <w:rFonts w:ascii="Aptos" w:eastAsia="Times New Roman" w:hAnsi="Aptos" w:cs="Calibri"/>
                <w:lang w:eastAsia="it-IT"/>
              </w:rPr>
              <w:t>20.670.147</w:t>
            </w:r>
          </w:p>
        </w:tc>
      </w:tr>
      <w:tr w:rsidR="00F70766" w:rsidRPr="00EC5A23" w14:paraId="01E3DA43" w14:textId="77777777" w:rsidTr="0091206F">
        <w:trPr>
          <w:trHeight w:val="495"/>
          <w:jc w:val="center"/>
        </w:trPr>
        <w:tc>
          <w:tcPr>
            <w:tcW w:w="5308" w:type="dxa"/>
            <w:shd w:val="clear" w:color="auto" w:fill="auto"/>
            <w:vAlign w:val="bottom"/>
            <w:hideMark/>
          </w:tcPr>
          <w:p w14:paraId="5FCD2875"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Super TICKET (Fondo per abolizione quota ricetta (L. 160/2019, art. 1, cc. 446-447)</w:t>
            </w:r>
          </w:p>
        </w:tc>
        <w:tc>
          <w:tcPr>
            <w:tcW w:w="2342" w:type="dxa"/>
            <w:shd w:val="clear" w:color="auto" w:fill="auto"/>
            <w:noWrap/>
            <w:vAlign w:val="bottom"/>
            <w:hideMark/>
          </w:tcPr>
          <w:p w14:paraId="5C960252" w14:textId="77777777" w:rsidR="00F70766" w:rsidRPr="00EC5A23" w:rsidRDefault="00F70766" w:rsidP="001627A4">
            <w:pPr>
              <w:spacing w:after="0" w:line="240" w:lineRule="auto"/>
              <w:jc w:val="right"/>
              <w:rPr>
                <w:rFonts w:ascii="Aptos" w:eastAsia="Times New Roman" w:hAnsi="Aptos" w:cs="Calibri"/>
                <w:lang w:eastAsia="it-IT"/>
              </w:rPr>
            </w:pPr>
            <w:r w:rsidRPr="00EC5A23">
              <w:rPr>
                <w:rFonts w:ascii="Aptos" w:eastAsia="Times New Roman" w:hAnsi="Aptos" w:cs="Calibri"/>
                <w:lang w:eastAsia="it-IT"/>
              </w:rPr>
              <w:t>5.944.836</w:t>
            </w:r>
          </w:p>
        </w:tc>
      </w:tr>
      <w:tr w:rsidR="00F70766" w:rsidRPr="00EC5A23" w14:paraId="080F55A0" w14:textId="77777777" w:rsidTr="0091206F">
        <w:trPr>
          <w:trHeight w:val="300"/>
          <w:jc w:val="center"/>
        </w:trPr>
        <w:tc>
          <w:tcPr>
            <w:tcW w:w="5308" w:type="dxa"/>
            <w:shd w:val="clear" w:color="auto" w:fill="auto"/>
            <w:vAlign w:val="bottom"/>
            <w:hideMark/>
          </w:tcPr>
          <w:p w14:paraId="1D38E0FB" w14:textId="77777777" w:rsidR="00F70766" w:rsidRPr="00EC5A23" w:rsidRDefault="00F70766" w:rsidP="001627A4">
            <w:pPr>
              <w:spacing w:after="0" w:line="240" w:lineRule="auto"/>
              <w:rPr>
                <w:rFonts w:ascii="Aptos" w:eastAsia="Times New Roman" w:hAnsi="Aptos" w:cs="Calibri"/>
                <w:b/>
                <w:bCs/>
                <w:lang w:eastAsia="it-IT"/>
              </w:rPr>
            </w:pPr>
            <w:r w:rsidRPr="00EC5A23">
              <w:rPr>
                <w:rFonts w:ascii="Aptos" w:eastAsia="Times New Roman" w:hAnsi="Aptos" w:cs="Calibri"/>
                <w:b/>
                <w:bCs/>
                <w:lang w:eastAsia="it-IT"/>
              </w:rPr>
              <w:t>TOTALE QUOTE FINALIZZATE</w:t>
            </w:r>
          </w:p>
        </w:tc>
        <w:tc>
          <w:tcPr>
            <w:tcW w:w="2342" w:type="dxa"/>
            <w:shd w:val="clear" w:color="auto" w:fill="auto"/>
            <w:noWrap/>
            <w:vAlign w:val="bottom"/>
            <w:hideMark/>
          </w:tcPr>
          <w:p w14:paraId="2A1BD035"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26.614.983</w:t>
            </w:r>
          </w:p>
        </w:tc>
      </w:tr>
      <w:tr w:rsidR="00F70766" w:rsidRPr="00EC5A23" w14:paraId="41A9E444" w14:textId="77777777" w:rsidTr="0091206F">
        <w:trPr>
          <w:trHeight w:val="300"/>
          <w:jc w:val="center"/>
        </w:trPr>
        <w:tc>
          <w:tcPr>
            <w:tcW w:w="5308" w:type="dxa"/>
            <w:shd w:val="clear" w:color="auto" w:fill="auto"/>
            <w:vAlign w:val="bottom"/>
            <w:hideMark/>
          </w:tcPr>
          <w:p w14:paraId="4F54A2D5"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TOTALE QUOTA INDISTINTA DA RIPARTIRE</w:t>
            </w:r>
          </w:p>
        </w:tc>
        <w:tc>
          <w:tcPr>
            <w:tcW w:w="2342" w:type="dxa"/>
            <w:shd w:val="clear" w:color="auto" w:fill="auto"/>
            <w:noWrap/>
            <w:vAlign w:val="bottom"/>
            <w:hideMark/>
          </w:tcPr>
          <w:p w14:paraId="7CF798B2"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1.144.358.438</w:t>
            </w:r>
          </w:p>
        </w:tc>
      </w:tr>
      <w:tr w:rsidR="00F70766" w:rsidRPr="00EC5A23" w14:paraId="382A0C35" w14:textId="77777777" w:rsidTr="0091206F">
        <w:trPr>
          <w:trHeight w:val="300"/>
          <w:jc w:val="center"/>
        </w:trPr>
        <w:tc>
          <w:tcPr>
            <w:tcW w:w="5308" w:type="dxa"/>
            <w:shd w:val="clear" w:color="auto" w:fill="auto"/>
            <w:vAlign w:val="bottom"/>
            <w:hideMark/>
          </w:tcPr>
          <w:p w14:paraId="2DA6EB6E" w14:textId="0B3E1E52"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Altre Ass</w:t>
            </w:r>
            <w:r w:rsidR="00D93360">
              <w:rPr>
                <w:rFonts w:ascii="Aptos" w:eastAsia="Times New Roman" w:hAnsi="Aptos" w:cs="Calibri"/>
                <w:lang w:eastAsia="it-IT"/>
              </w:rPr>
              <w:t>egnazioni</w:t>
            </w:r>
            <w:r w:rsidRPr="00EC5A23">
              <w:rPr>
                <w:rFonts w:ascii="Aptos" w:eastAsia="Times New Roman" w:hAnsi="Aptos" w:cs="Calibri"/>
                <w:lang w:eastAsia="it-IT"/>
              </w:rPr>
              <w:t xml:space="preserve"> Vincolate</w:t>
            </w:r>
          </w:p>
        </w:tc>
        <w:tc>
          <w:tcPr>
            <w:tcW w:w="2342" w:type="dxa"/>
            <w:shd w:val="clear" w:color="auto" w:fill="auto"/>
            <w:noWrap/>
            <w:vAlign w:val="bottom"/>
            <w:hideMark/>
          </w:tcPr>
          <w:p w14:paraId="77A2B5EC" w14:textId="77777777" w:rsidR="00F70766" w:rsidRPr="00EC5A23" w:rsidRDefault="00F70766" w:rsidP="001627A4">
            <w:pPr>
              <w:spacing w:after="0" w:line="240" w:lineRule="auto"/>
              <w:jc w:val="right"/>
              <w:rPr>
                <w:rFonts w:ascii="Aptos" w:eastAsia="Times New Roman" w:hAnsi="Aptos" w:cs="Calibri"/>
                <w:lang w:eastAsia="it-IT"/>
              </w:rPr>
            </w:pPr>
            <w:r w:rsidRPr="00EC5A23">
              <w:rPr>
                <w:rFonts w:ascii="Aptos" w:eastAsia="Times New Roman" w:hAnsi="Aptos" w:cs="Calibri"/>
                <w:lang w:eastAsia="it-IT"/>
              </w:rPr>
              <w:t>19.225.374,79</w:t>
            </w:r>
          </w:p>
        </w:tc>
      </w:tr>
      <w:tr w:rsidR="00F70766" w:rsidRPr="00EC5A23" w14:paraId="4CBB6D7C" w14:textId="77777777" w:rsidTr="0091206F">
        <w:trPr>
          <w:trHeight w:val="300"/>
          <w:jc w:val="center"/>
        </w:trPr>
        <w:tc>
          <w:tcPr>
            <w:tcW w:w="5308" w:type="dxa"/>
            <w:shd w:val="clear" w:color="auto" w:fill="auto"/>
            <w:vAlign w:val="bottom"/>
            <w:hideMark/>
          </w:tcPr>
          <w:p w14:paraId="40230F44" w14:textId="3424624F"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Obiett</w:t>
            </w:r>
            <w:r w:rsidR="00D93360">
              <w:rPr>
                <w:rFonts w:ascii="Aptos" w:eastAsia="Times New Roman" w:hAnsi="Aptos" w:cs="Calibri"/>
                <w:lang w:eastAsia="it-IT"/>
              </w:rPr>
              <w:t xml:space="preserve">ivi di </w:t>
            </w:r>
            <w:r w:rsidRPr="00EC5A23">
              <w:rPr>
                <w:rFonts w:ascii="Aptos" w:eastAsia="Times New Roman" w:hAnsi="Aptos" w:cs="Calibri"/>
                <w:lang w:eastAsia="it-IT"/>
              </w:rPr>
              <w:t>Piano</w:t>
            </w:r>
          </w:p>
        </w:tc>
        <w:tc>
          <w:tcPr>
            <w:tcW w:w="2342" w:type="dxa"/>
            <w:shd w:val="clear" w:color="auto" w:fill="auto"/>
            <w:noWrap/>
            <w:vAlign w:val="bottom"/>
            <w:hideMark/>
          </w:tcPr>
          <w:p w14:paraId="1C0D7E85" w14:textId="77777777" w:rsidR="00F70766" w:rsidRPr="00EC5A23" w:rsidRDefault="00F70766" w:rsidP="001627A4">
            <w:pPr>
              <w:spacing w:after="0" w:line="240" w:lineRule="auto"/>
              <w:jc w:val="right"/>
              <w:rPr>
                <w:rFonts w:ascii="Aptos" w:eastAsia="Times New Roman" w:hAnsi="Aptos" w:cs="Calibri"/>
                <w:lang w:eastAsia="it-IT"/>
              </w:rPr>
            </w:pPr>
            <w:r w:rsidRPr="00EC5A23">
              <w:rPr>
                <w:rFonts w:ascii="Aptos" w:eastAsia="Times New Roman" w:hAnsi="Aptos" w:cs="Calibri"/>
                <w:lang w:eastAsia="it-IT"/>
              </w:rPr>
              <w:t>9.480.538,00</w:t>
            </w:r>
          </w:p>
        </w:tc>
      </w:tr>
      <w:tr w:rsidR="00F70766" w:rsidRPr="00EC5A23" w14:paraId="49E5A9FA" w14:textId="77777777" w:rsidTr="0091206F">
        <w:trPr>
          <w:trHeight w:val="300"/>
          <w:jc w:val="center"/>
        </w:trPr>
        <w:tc>
          <w:tcPr>
            <w:tcW w:w="5308" w:type="dxa"/>
            <w:shd w:val="clear" w:color="auto" w:fill="auto"/>
            <w:vAlign w:val="bottom"/>
            <w:hideMark/>
          </w:tcPr>
          <w:p w14:paraId="4D641E97" w14:textId="77777777" w:rsidR="00F70766" w:rsidRPr="00EC5A23" w:rsidRDefault="00F70766" w:rsidP="001627A4">
            <w:pPr>
              <w:spacing w:after="0" w:line="240" w:lineRule="auto"/>
              <w:rPr>
                <w:rFonts w:ascii="Aptos" w:eastAsia="Times New Roman" w:hAnsi="Aptos" w:cs="Calibri"/>
                <w:b/>
                <w:bCs/>
                <w:lang w:eastAsia="it-IT"/>
              </w:rPr>
            </w:pPr>
            <w:r w:rsidRPr="00EC5A23">
              <w:rPr>
                <w:rFonts w:ascii="Aptos" w:eastAsia="Times New Roman" w:hAnsi="Aptos" w:cs="Calibri"/>
                <w:b/>
                <w:bCs/>
                <w:lang w:eastAsia="it-IT"/>
              </w:rPr>
              <w:t>TOTALE QUOTE VINCOLATE</w:t>
            </w:r>
          </w:p>
        </w:tc>
        <w:tc>
          <w:tcPr>
            <w:tcW w:w="2342" w:type="dxa"/>
            <w:shd w:val="clear" w:color="auto" w:fill="auto"/>
            <w:noWrap/>
            <w:vAlign w:val="bottom"/>
            <w:hideMark/>
          </w:tcPr>
          <w:p w14:paraId="14F659F4"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28.705.912,79</w:t>
            </w:r>
          </w:p>
        </w:tc>
      </w:tr>
      <w:tr w:rsidR="00F70766" w:rsidRPr="00EC5A23" w14:paraId="291526CF" w14:textId="77777777" w:rsidTr="0091206F">
        <w:trPr>
          <w:trHeight w:val="300"/>
          <w:jc w:val="center"/>
        </w:trPr>
        <w:tc>
          <w:tcPr>
            <w:tcW w:w="5308" w:type="dxa"/>
            <w:shd w:val="clear" w:color="auto" w:fill="auto"/>
            <w:vAlign w:val="bottom"/>
            <w:hideMark/>
          </w:tcPr>
          <w:p w14:paraId="0AB6A87A" w14:textId="77777777" w:rsidR="00F70766" w:rsidRPr="00EC5A23" w:rsidRDefault="00F70766" w:rsidP="0091206F">
            <w:pPr>
              <w:spacing w:after="0" w:line="240" w:lineRule="auto"/>
              <w:rPr>
                <w:rFonts w:ascii="Aptos" w:eastAsia="Times New Roman" w:hAnsi="Aptos" w:cs="Calibri"/>
                <w:b/>
                <w:bCs/>
                <w:lang w:eastAsia="it-IT"/>
              </w:rPr>
            </w:pPr>
            <w:r w:rsidRPr="00EC5A23">
              <w:rPr>
                <w:rFonts w:ascii="Aptos" w:eastAsia="Times New Roman" w:hAnsi="Aptos" w:cs="Calibri"/>
                <w:b/>
                <w:bCs/>
                <w:lang w:eastAsia="it-IT"/>
              </w:rPr>
              <w:t>Tot STANZIAMENTO 2024 (Indistinto + Vincolato)</w:t>
            </w:r>
          </w:p>
        </w:tc>
        <w:tc>
          <w:tcPr>
            <w:tcW w:w="2342" w:type="dxa"/>
            <w:shd w:val="clear" w:color="auto" w:fill="auto"/>
            <w:noWrap/>
            <w:vAlign w:val="bottom"/>
            <w:hideMark/>
          </w:tcPr>
          <w:p w14:paraId="1C69FCD5"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1.199.679.333,79</w:t>
            </w:r>
          </w:p>
        </w:tc>
      </w:tr>
      <w:tr w:rsidR="00F70766" w:rsidRPr="00EC5A23" w14:paraId="117A3EEE" w14:textId="77777777" w:rsidTr="0091206F">
        <w:trPr>
          <w:trHeight w:val="300"/>
          <w:jc w:val="center"/>
        </w:trPr>
        <w:tc>
          <w:tcPr>
            <w:tcW w:w="5308" w:type="dxa"/>
            <w:shd w:val="clear" w:color="auto" w:fill="auto"/>
            <w:vAlign w:val="center"/>
            <w:hideMark/>
          </w:tcPr>
          <w:p w14:paraId="2B7EAC37" w14:textId="77D4A728"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Ulteriori ass</w:t>
            </w:r>
            <w:r w:rsidR="00D93360">
              <w:rPr>
                <w:rFonts w:ascii="Aptos" w:eastAsia="Times New Roman" w:hAnsi="Aptos" w:cs="Calibri"/>
                <w:lang w:eastAsia="it-IT"/>
              </w:rPr>
              <w:t>egnazioni</w:t>
            </w:r>
            <w:r w:rsidRPr="00EC5A23">
              <w:rPr>
                <w:rFonts w:ascii="Aptos" w:eastAsia="Times New Roman" w:hAnsi="Aptos" w:cs="Calibri"/>
                <w:lang w:eastAsia="it-IT"/>
              </w:rPr>
              <w:t xml:space="preserve"> </w:t>
            </w:r>
            <w:proofErr w:type="spellStart"/>
            <w:r w:rsidRPr="00EC5A23">
              <w:rPr>
                <w:rFonts w:ascii="Aptos" w:eastAsia="Times New Roman" w:hAnsi="Aptos" w:cs="Calibri"/>
                <w:lang w:eastAsia="it-IT"/>
              </w:rPr>
              <w:t>Pay</w:t>
            </w:r>
            <w:proofErr w:type="spellEnd"/>
            <w:r w:rsidRPr="00EC5A23">
              <w:rPr>
                <w:rFonts w:ascii="Aptos" w:eastAsia="Times New Roman" w:hAnsi="Aptos" w:cs="Calibri"/>
                <w:lang w:eastAsia="it-IT"/>
              </w:rPr>
              <w:t xml:space="preserve"> Back</w:t>
            </w:r>
            <w:r w:rsidR="00D93360">
              <w:rPr>
                <w:rFonts w:ascii="Aptos" w:eastAsia="Times New Roman" w:hAnsi="Aptos" w:cs="Calibri"/>
                <w:lang w:eastAsia="it-IT"/>
              </w:rPr>
              <w:t xml:space="preserve"> farmaceutico</w:t>
            </w:r>
          </w:p>
        </w:tc>
        <w:tc>
          <w:tcPr>
            <w:tcW w:w="2342" w:type="dxa"/>
            <w:shd w:val="clear" w:color="auto" w:fill="auto"/>
            <w:noWrap/>
            <w:vAlign w:val="center"/>
            <w:hideMark/>
          </w:tcPr>
          <w:p w14:paraId="35A18BBA" w14:textId="77777777" w:rsidR="00F70766" w:rsidRPr="00EC5A23" w:rsidRDefault="00F70766" w:rsidP="001627A4">
            <w:pPr>
              <w:spacing w:after="0" w:line="240" w:lineRule="auto"/>
              <w:jc w:val="right"/>
              <w:rPr>
                <w:rFonts w:ascii="Aptos" w:eastAsia="Times New Roman" w:hAnsi="Aptos" w:cs="Calibri"/>
                <w:lang w:eastAsia="it-IT"/>
              </w:rPr>
            </w:pPr>
            <w:r w:rsidRPr="00EC5A23">
              <w:rPr>
                <w:rFonts w:ascii="Aptos" w:eastAsia="Times New Roman" w:hAnsi="Aptos" w:cs="Calibri"/>
                <w:lang w:eastAsia="it-IT"/>
              </w:rPr>
              <w:t>5.043.542,51</w:t>
            </w:r>
          </w:p>
        </w:tc>
      </w:tr>
      <w:tr w:rsidR="00F70766" w:rsidRPr="00EC5A23" w14:paraId="331C9F4B" w14:textId="77777777" w:rsidTr="0091206F">
        <w:trPr>
          <w:trHeight w:val="300"/>
          <w:jc w:val="center"/>
        </w:trPr>
        <w:tc>
          <w:tcPr>
            <w:tcW w:w="5308" w:type="dxa"/>
            <w:shd w:val="clear" w:color="auto" w:fill="auto"/>
            <w:vAlign w:val="bottom"/>
            <w:hideMark/>
          </w:tcPr>
          <w:p w14:paraId="19CCFA91"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Ulteriori assegnazioni vincolate Statali</w:t>
            </w:r>
          </w:p>
        </w:tc>
        <w:tc>
          <w:tcPr>
            <w:tcW w:w="2342" w:type="dxa"/>
            <w:shd w:val="clear" w:color="auto" w:fill="auto"/>
            <w:noWrap/>
            <w:vAlign w:val="bottom"/>
            <w:hideMark/>
          </w:tcPr>
          <w:p w14:paraId="67B558CD"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 xml:space="preserve">            5.244.527,12 </w:t>
            </w:r>
          </w:p>
        </w:tc>
      </w:tr>
      <w:tr w:rsidR="00F70766" w:rsidRPr="00EC5A23" w14:paraId="7D322802" w14:textId="77777777" w:rsidTr="0091206F">
        <w:trPr>
          <w:trHeight w:val="300"/>
          <w:jc w:val="center"/>
        </w:trPr>
        <w:tc>
          <w:tcPr>
            <w:tcW w:w="5308" w:type="dxa"/>
            <w:shd w:val="clear" w:color="auto" w:fill="auto"/>
            <w:vAlign w:val="bottom"/>
            <w:hideMark/>
          </w:tcPr>
          <w:p w14:paraId="6C17CC85" w14:textId="77777777" w:rsidR="00F70766" w:rsidRPr="00EC5A23" w:rsidRDefault="00F70766" w:rsidP="001627A4">
            <w:pPr>
              <w:spacing w:after="0" w:line="240" w:lineRule="auto"/>
              <w:rPr>
                <w:rFonts w:ascii="Aptos" w:eastAsia="Times New Roman" w:hAnsi="Aptos" w:cs="Calibri"/>
                <w:b/>
                <w:bCs/>
                <w:lang w:eastAsia="it-IT"/>
              </w:rPr>
            </w:pPr>
            <w:r w:rsidRPr="00EC5A23">
              <w:rPr>
                <w:rFonts w:ascii="Aptos" w:eastAsia="Times New Roman" w:hAnsi="Aptos" w:cs="Calibri"/>
                <w:b/>
                <w:bCs/>
                <w:lang w:eastAsia="it-IT"/>
              </w:rPr>
              <w:t>Totale Finanziamento</w:t>
            </w:r>
          </w:p>
        </w:tc>
        <w:tc>
          <w:tcPr>
            <w:tcW w:w="2342" w:type="dxa"/>
            <w:shd w:val="clear" w:color="auto" w:fill="auto"/>
            <w:noWrap/>
            <w:vAlign w:val="bottom"/>
            <w:hideMark/>
          </w:tcPr>
          <w:p w14:paraId="680E0712"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1.209.967.403,42</w:t>
            </w:r>
          </w:p>
        </w:tc>
      </w:tr>
      <w:tr w:rsidR="00F70766" w:rsidRPr="00EC5A23" w14:paraId="178C0583" w14:textId="77777777" w:rsidTr="0091206F">
        <w:trPr>
          <w:trHeight w:val="300"/>
          <w:jc w:val="center"/>
        </w:trPr>
        <w:tc>
          <w:tcPr>
            <w:tcW w:w="5308" w:type="dxa"/>
            <w:shd w:val="clear" w:color="auto" w:fill="auto"/>
            <w:vAlign w:val="bottom"/>
            <w:hideMark/>
          </w:tcPr>
          <w:p w14:paraId="0835D934"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Extra LEA - FONDI REGIONALI</w:t>
            </w:r>
          </w:p>
        </w:tc>
        <w:tc>
          <w:tcPr>
            <w:tcW w:w="2342" w:type="dxa"/>
            <w:shd w:val="clear" w:color="auto" w:fill="auto"/>
            <w:noWrap/>
            <w:vAlign w:val="bottom"/>
            <w:hideMark/>
          </w:tcPr>
          <w:p w14:paraId="14DA58C4" w14:textId="77777777" w:rsidR="00F70766" w:rsidRPr="00EC5A23" w:rsidRDefault="00F70766" w:rsidP="001627A4">
            <w:pPr>
              <w:spacing w:after="0" w:line="240" w:lineRule="auto"/>
              <w:rPr>
                <w:rFonts w:ascii="Aptos" w:eastAsia="Times New Roman" w:hAnsi="Aptos" w:cs="Calibri"/>
                <w:lang w:eastAsia="it-IT"/>
              </w:rPr>
            </w:pPr>
            <w:r w:rsidRPr="00EC5A23">
              <w:rPr>
                <w:rFonts w:ascii="Aptos" w:eastAsia="Times New Roman" w:hAnsi="Aptos" w:cs="Calibri"/>
                <w:lang w:eastAsia="it-IT"/>
              </w:rPr>
              <w:t xml:space="preserve">            1.600.000,00 </w:t>
            </w:r>
          </w:p>
        </w:tc>
      </w:tr>
      <w:tr w:rsidR="00F70766" w:rsidRPr="00EC5A23" w14:paraId="4619C302" w14:textId="77777777" w:rsidTr="0091206F">
        <w:trPr>
          <w:trHeight w:val="315"/>
          <w:jc w:val="center"/>
        </w:trPr>
        <w:tc>
          <w:tcPr>
            <w:tcW w:w="5308" w:type="dxa"/>
            <w:shd w:val="clear" w:color="auto" w:fill="auto"/>
            <w:vAlign w:val="bottom"/>
            <w:hideMark/>
          </w:tcPr>
          <w:p w14:paraId="71BC2FCE" w14:textId="77777777" w:rsidR="00F70766" w:rsidRPr="00EC5A23" w:rsidRDefault="00F70766" w:rsidP="001627A4">
            <w:pPr>
              <w:spacing w:after="0" w:line="240" w:lineRule="auto"/>
              <w:rPr>
                <w:rFonts w:ascii="Aptos" w:eastAsia="Times New Roman" w:hAnsi="Aptos" w:cs="Calibri"/>
                <w:b/>
                <w:bCs/>
                <w:lang w:eastAsia="it-IT"/>
              </w:rPr>
            </w:pPr>
            <w:r w:rsidRPr="00EC5A23">
              <w:rPr>
                <w:rFonts w:ascii="Aptos" w:eastAsia="Times New Roman" w:hAnsi="Aptos" w:cs="Calibri"/>
                <w:b/>
                <w:bCs/>
                <w:lang w:eastAsia="it-IT"/>
              </w:rPr>
              <w:t>TOTALE ASSEGNAZIONI 2024</w:t>
            </w:r>
          </w:p>
        </w:tc>
        <w:tc>
          <w:tcPr>
            <w:tcW w:w="2342" w:type="dxa"/>
            <w:shd w:val="clear" w:color="auto" w:fill="auto"/>
            <w:noWrap/>
            <w:vAlign w:val="bottom"/>
            <w:hideMark/>
          </w:tcPr>
          <w:p w14:paraId="5B82DB09" w14:textId="77777777" w:rsidR="00F70766" w:rsidRPr="00EC5A23" w:rsidRDefault="00F70766" w:rsidP="001627A4">
            <w:pPr>
              <w:spacing w:after="0" w:line="240" w:lineRule="auto"/>
              <w:jc w:val="right"/>
              <w:rPr>
                <w:rFonts w:ascii="Aptos" w:eastAsia="Times New Roman" w:hAnsi="Aptos" w:cs="Calibri"/>
                <w:b/>
                <w:bCs/>
                <w:lang w:eastAsia="it-IT"/>
              </w:rPr>
            </w:pPr>
            <w:r w:rsidRPr="00EC5A23">
              <w:rPr>
                <w:rFonts w:ascii="Aptos" w:eastAsia="Times New Roman" w:hAnsi="Aptos" w:cs="Calibri"/>
                <w:b/>
                <w:bCs/>
                <w:lang w:eastAsia="it-IT"/>
              </w:rPr>
              <w:t>1.211.567.403,42</w:t>
            </w:r>
          </w:p>
        </w:tc>
      </w:tr>
    </w:tbl>
    <w:p w14:paraId="655AFC4A" w14:textId="77777777" w:rsidR="00F70766" w:rsidRPr="00EC5A23" w:rsidRDefault="00F70766" w:rsidP="00F70766">
      <w:pPr>
        <w:spacing w:after="120" w:line="240" w:lineRule="auto"/>
        <w:jc w:val="both"/>
        <w:rPr>
          <w:rFonts w:ascii="Aptos" w:hAnsi="Aptos"/>
        </w:rPr>
      </w:pPr>
    </w:p>
    <w:p w14:paraId="6E8D978B" w14:textId="00C0D5C0" w:rsidR="00F70766" w:rsidRPr="00EC5A23" w:rsidRDefault="00F70766" w:rsidP="00F70766">
      <w:pPr>
        <w:spacing w:before="120" w:after="120" w:line="240" w:lineRule="auto"/>
        <w:jc w:val="both"/>
        <w:rPr>
          <w:rFonts w:ascii="Aptos" w:hAnsi="Aptos"/>
        </w:rPr>
      </w:pPr>
      <w:r w:rsidRPr="00EC5A23">
        <w:rPr>
          <w:rFonts w:ascii="Aptos" w:hAnsi="Aptos"/>
        </w:rPr>
        <w:t xml:space="preserve">Sulla base di tali assegnazioni è stata predisposta la Bozza di Riparto provvisorio del Fondo Sanitario Regionale (FSR) per il 2024, trasmesso alle aziende per la predisposizione del CE </w:t>
      </w:r>
      <w:r w:rsidR="001627A4">
        <w:rPr>
          <w:rFonts w:ascii="Aptos" w:hAnsi="Aptos"/>
        </w:rPr>
        <w:t xml:space="preserve">(Conto Economico) del </w:t>
      </w:r>
      <w:r w:rsidRPr="00EC5A23">
        <w:rPr>
          <w:rFonts w:ascii="Aptos" w:hAnsi="Aptos"/>
        </w:rPr>
        <w:t>IV Trimestre.</w:t>
      </w:r>
    </w:p>
    <w:p w14:paraId="48FBA894" w14:textId="00D4E29F" w:rsidR="00F70766" w:rsidRPr="00EC5A23" w:rsidRDefault="00F70766" w:rsidP="00F70766">
      <w:pPr>
        <w:spacing w:before="120" w:after="120" w:line="240" w:lineRule="auto"/>
        <w:jc w:val="both"/>
        <w:rPr>
          <w:rFonts w:ascii="Aptos" w:hAnsi="Aptos"/>
        </w:rPr>
      </w:pPr>
      <w:r w:rsidRPr="00EC5A23">
        <w:rPr>
          <w:rFonts w:ascii="Aptos" w:hAnsi="Aptos"/>
        </w:rPr>
        <w:t>Successivamente si procederà all’approvazione, con Delibera di Giunta Regionale, della versione definitiva del Riparto del FSR 2024, una volta acquisiti tutti i dati di produzione dei flussi standard (ricoveri, specialistica ambulatoriale, farmaceutica, ecc</w:t>
      </w:r>
      <w:r w:rsidR="001627A4">
        <w:rPr>
          <w:rFonts w:ascii="Aptos" w:hAnsi="Aptos"/>
        </w:rPr>
        <w:t>.</w:t>
      </w:r>
      <w:r w:rsidRPr="00EC5A23">
        <w:rPr>
          <w:rFonts w:ascii="Aptos" w:hAnsi="Aptos"/>
        </w:rPr>
        <w:t>).</w:t>
      </w:r>
    </w:p>
    <w:p w14:paraId="797F23FB" w14:textId="489DCD7E" w:rsidR="00F70766" w:rsidRPr="00EC5A23" w:rsidRDefault="00F70766" w:rsidP="00F70766">
      <w:pPr>
        <w:spacing w:before="120" w:after="120" w:line="240" w:lineRule="auto"/>
        <w:jc w:val="both"/>
        <w:rPr>
          <w:rFonts w:ascii="Aptos" w:hAnsi="Aptos"/>
        </w:rPr>
      </w:pPr>
      <w:r w:rsidRPr="00EC5A23">
        <w:rPr>
          <w:rFonts w:ascii="Aptos" w:hAnsi="Aptos"/>
        </w:rPr>
        <w:t xml:space="preserve">Con il riparto 2024 sono state assegnate risorse per 1.211,567 mln di euro, con un incremento di +23 milioni </w:t>
      </w:r>
      <w:r w:rsidR="001627A4">
        <w:rPr>
          <w:rFonts w:ascii="Aptos" w:hAnsi="Aptos"/>
        </w:rPr>
        <w:t xml:space="preserve">rispetto </w:t>
      </w:r>
      <w:r w:rsidRPr="00EC5A23">
        <w:rPr>
          <w:rFonts w:ascii="Aptos" w:hAnsi="Aptos"/>
        </w:rPr>
        <w:t>a quelle complessivamente assegnat</w:t>
      </w:r>
      <w:r w:rsidR="001627A4">
        <w:rPr>
          <w:rFonts w:ascii="Aptos" w:hAnsi="Aptos"/>
        </w:rPr>
        <w:t>e</w:t>
      </w:r>
      <w:r w:rsidRPr="00EC5A23">
        <w:rPr>
          <w:rFonts w:ascii="Aptos" w:hAnsi="Aptos"/>
        </w:rPr>
        <w:t xml:space="preserve"> all’anno precedente.</w:t>
      </w:r>
    </w:p>
    <w:p w14:paraId="1D945BCE" w14:textId="07661D41" w:rsidR="00F70766" w:rsidRPr="00EC5A23" w:rsidRDefault="00F70766" w:rsidP="00F70766">
      <w:pPr>
        <w:spacing w:before="120" w:after="120" w:line="240" w:lineRule="auto"/>
        <w:jc w:val="both"/>
        <w:rPr>
          <w:rFonts w:ascii="Aptos" w:hAnsi="Aptos"/>
        </w:rPr>
      </w:pPr>
      <w:r w:rsidRPr="00EC5A23">
        <w:rPr>
          <w:rFonts w:ascii="Aptos" w:hAnsi="Aptos"/>
        </w:rPr>
        <w:t xml:space="preserve">Sulla base dei </w:t>
      </w:r>
      <w:r w:rsidR="001627A4">
        <w:rPr>
          <w:rFonts w:ascii="Aptos" w:hAnsi="Aptos"/>
        </w:rPr>
        <w:t xml:space="preserve">suddetti </w:t>
      </w:r>
      <w:r w:rsidRPr="00EC5A23">
        <w:rPr>
          <w:rFonts w:ascii="Aptos" w:hAnsi="Aptos"/>
        </w:rPr>
        <w:t>dati, le Aziende del SSR hanno predisposto i conti economici (CE) relati al IV trimestre.</w:t>
      </w:r>
    </w:p>
    <w:p w14:paraId="5F92BEFB" w14:textId="47BD092E" w:rsidR="00F70766" w:rsidRDefault="00F70766" w:rsidP="00F70766">
      <w:pPr>
        <w:spacing w:before="120" w:after="120" w:line="240" w:lineRule="auto"/>
        <w:jc w:val="both"/>
        <w:rPr>
          <w:rFonts w:ascii="Aptos" w:hAnsi="Aptos"/>
        </w:rPr>
      </w:pPr>
      <w:r w:rsidRPr="00EC5A23">
        <w:rPr>
          <w:rFonts w:ascii="Aptos" w:hAnsi="Aptos"/>
        </w:rPr>
        <w:t>Nella tabella allegata si riporta l’andamento trimestrale dei risultati economici registrati nei trimestri 2024</w:t>
      </w:r>
    </w:p>
    <w:p w14:paraId="3A1604AD" w14:textId="7BD2042A" w:rsidR="00FE0AA2" w:rsidRDefault="00FE0AA2" w:rsidP="00F70766">
      <w:pPr>
        <w:spacing w:before="120" w:after="120" w:line="240" w:lineRule="auto"/>
        <w:jc w:val="both"/>
        <w:rPr>
          <w:rFonts w:ascii="Aptos" w:hAnsi="Aptos"/>
        </w:rPr>
      </w:pPr>
    </w:p>
    <w:p w14:paraId="42F6B39F" w14:textId="77777777" w:rsidR="00FB1543" w:rsidRPr="00EC5A23" w:rsidRDefault="00FB1543" w:rsidP="00F70766">
      <w:pPr>
        <w:spacing w:before="120" w:after="120" w:line="240" w:lineRule="auto"/>
        <w:jc w:val="both"/>
        <w:rPr>
          <w:rFonts w:ascii="Aptos" w:hAnsi="Aptos"/>
        </w:rPr>
      </w:pPr>
    </w:p>
    <w:tbl>
      <w:tblPr>
        <w:tblW w:w="5151" w:type="pct"/>
        <w:jc w:val="center"/>
        <w:tblCellMar>
          <w:left w:w="70" w:type="dxa"/>
          <w:right w:w="70" w:type="dxa"/>
        </w:tblCellMar>
        <w:tblLook w:val="04A0" w:firstRow="1" w:lastRow="0" w:firstColumn="1" w:lastColumn="0" w:noHBand="0" w:noVBand="1"/>
      </w:tblPr>
      <w:tblGrid>
        <w:gridCol w:w="3188"/>
        <w:gridCol w:w="1541"/>
        <w:gridCol w:w="1430"/>
        <w:gridCol w:w="1375"/>
        <w:gridCol w:w="932"/>
        <w:gridCol w:w="1453"/>
      </w:tblGrid>
      <w:tr w:rsidR="008B7EB8" w:rsidRPr="000C775A" w14:paraId="04FE9699" w14:textId="77777777" w:rsidTr="008B7EB8">
        <w:trPr>
          <w:trHeight w:val="300"/>
          <w:jc w:val="center"/>
        </w:trPr>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59886" w14:textId="77777777" w:rsidR="00F70766" w:rsidRPr="000C775A" w:rsidRDefault="00F70766" w:rsidP="001627A4">
            <w:pPr>
              <w:spacing w:after="0" w:line="240" w:lineRule="auto"/>
              <w:jc w:val="center"/>
              <w:rPr>
                <w:rFonts w:ascii="Aptos" w:eastAsia="Times New Roman" w:hAnsi="Aptos" w:cs="Calibri"/>
                <w:b/>
                <w:bCs/>
                <w:sz w:val="18"/>
                <w:szCs w:val="18"/>
                <w:lang w:eastAsia="it-IT"/>
              </w:rPr>
            </w:pPr>
            <w:r w:rsidRPr="000C775A">
              <w:rPr>
                <w:rFonts w:ascii="Aptos" w:eastAsia="Times New Roman" w:hAnsi="Aptos" w:cs="Calibri"/>
                <w:b/>
                <w:bCs/>
                <w:sz w:val="18"/>
                <w:szCs w:val="18"/>
                <w:lang w:eastAsia="it-IT"/>
              </w:rPr>
              <w:lastRenderedPageBreak/>
              <w:t xml:space="preserve">RISULTATI DI ESERCIZIO - CE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20A91164" w14:textId="77777777" w:rsidR="00F70766" w:rsidRPr="000C775A" w:rsidRDefault="00F70766" w:rsidP="001627A4">
            <w:pPr>
              <w:spacing w:after="0" w:line="240" w:lineRule="auto"/>
              <w:jc w:val="center"/>
              <w:rPr>
                <w:rFonts w:ascii="Aptos" w:eastAsia="Times New Roman" w:hAnsi="Aptos" w:cs="Calibri"/>
                <w:b/>
                <w:bCs/>
                <w:sz w:val="18"/>
                <w:szCs w:val="18"/>
                <w:lang w:eastAsia="it-IT"/>
              </w:rPr>
            </w:pPr>
            <w:r w:rsidRPr="000C775A">
              <w:rPr>
                <w:rFonts w:ascii="Aptos" w:eastAsia="Times New Roman" w:hAnsi="Aptos" w:cs="Calibri"/>
                <w:b/>
                <w:bCs/>
                <w:sz w:val="18"/>
                <w:szCs w:val="18"/>
                <w:lang w:eastAsia="it-IT"/>
              </w:rPr>
              <w:t xml:space="preserve"> ASP </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110CF276" w14:textId="77777777" w:rsidR="00F70766" w:rsidRPr="000C775A" w:rsidRDefault="00F70766" w:rsidP="001627A4">
            <w:pPr>
              <w:spacing w:after="0" w:line="240" w:lineRule="auto"/>
              <w:jc w:val="center"/>
              <w:rPr>
                <w:rFonts w:ascii="Aptos" w:eastAsia="Times New Roman" w:hAnsi="Aptos" w:cs="Calibri"/>
                <w:b/>
                <w:bCs/>
                <w:sz w:val="18"/>
                <w:szCs w:val="18"/>
                <w:lang w:eastAsia="it-IT"/>
              </w:rPr>
            </w:pPr>
            <w:r w:rsidRPr="000C775A">
              <w:rPr>
                <w:rFonts w:ascii="Aptos" w:eastAsia="Times New Roman" w:hAnsi="Aptos" w:cs="Calibri"/>
                <w:b/>
                <w:bCs/>
                <w:sz w:val="18"/>
                <w:szCs w:val="18"/>
                <w:lang w:eastAsia="it-IT"/>
              </w:rPr>
              <w:t xml:space="preserve"> ASM </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38BE5722" w14:textId="77777777" w:rsidR="00F70766" w:rsidRPr="000C775A" w:rsidRDefault="00F70766" w:rsidP="001627A4">
            <w:pPr>
              <w:spacing w:after="0" w:line="240" w:lineRule="auto"/>
              <w:jc w:val="center"/>
              <w:rPr>
                <w:rFonts w:ascii="Aptos" w:eastAsia="Times New Roman" w:hAnsi="Aptos" w:cs="Calibri"/>
                <w:b/>
                <w:bCs/>
                <w:sz w:val="18"/>
                <w:szCs w:val="18"/>
                <w:lang w:eastAsia="it-IT"/>
              </w:rPr>
            </w:pPr>
            <w:r w:rsidRPr="000C775A">
              <w:rPr>
                <w:rFonts w:ascii="Aptos" w:eastAsia="Times New Roman" w:hAnsi="Aptos" w:cs="Calibri"/>
                <w:b/>
                <w:bCs/>
                <w:sz w:val="18"/>
                <w:szCs w:val="18"/>
                <w:lang w:eastAsia="it-IT"/>
              </w:rPr>
              <w:t xml:space="preserve"> San Carlo </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79218B04" w14:textId="77777777" w:rsidR="00F70766" w:rsidRPr="000C775A" w:rsidRDefault="00F70766" w:rsidP="001627A4">
            <w:pPr>
              <w:spacing w:after="0" w:line="240" w:lineRule="auto"/>
              <w:jc w:val="center"/>
              <w:rPr>
                <w:rFonts w:ascii="Aptos" w:eastAsia="Times New Roman" w:hAnsi="Aptos" w:cs="Calibri"/>
                <w:b/>
                <w:bCs/>
                <w:sz w:val="18"/>
                <w:szCs w:val="18"/>
                <w:lang w:eastAsia="it-IT"/>
              </w:rPr>
            </w:pPr>
            <w:r w:rsidRPr="000C775A">
              <w:rPr>
                <w:rFonts w:ascii="Aptos" w:eastAsia="Times New Roman" w:hAnsi="Aptos" w:cs="Calibri"/>
                <w:b/>
                <w:bCs/>
                <w:sz w:val="18"/>
                <w:szCs w:val="18"/>
                <w:lang w:eastAsia="it-IT"/>
              </w:rPr>
              <w:t xml:space="preserve"> CROB </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16DF063A" w14:textId="77777777" w:rsidR="00F70766" w:rsidRPr="000C775A" w:rsidRDefault="00F70766" w:rsidP="001627A4">
            <w:pPr>
              <w:spacing w:after="0" w:line="240" w:lineRule="auto"/>
              <w:jc w:val="center"/>
              <w:rPr>
                <w:rFonts w:ascii="Aptos" w:eastAsia="Times New Roman" w:hAnsi="Aptos" w:cs="Calibri"/>
                <w:b/>
                <w:bCs/>
                <w:sz w:val="18"/>
                <w:szCs w:val="18"/>
                <w:lang w:eastAsia="it-IT"/>
              </w:rPr>
            </w:pPr>
            <w:r w:rsidRPr="000C775A">
              <w:rPr>
                <w:rFonts w:ascii="Aptos" w:eastAsia="Times New Roman" w:hAnsi="Aptos" w:cs="Calibri"/>
                <w:b/>
                <w:bCs/>
                <w:sz w:val="18"/>
                <w:szCs w:val="18"/>
                <w:lang w:eastAsia="it-IT"/>
              </w:rPr>
              <w:t xml:space="preserve"> REGIONE </w:t>
            </w:r>
          </w:p>
        </w:tc>
      </w:tr>
      <w:tr w:rsidR="008B7EB8" w:rsidRPr="000C775A" w14:paraId="5959E0BD" w14:textId="77777777" w:rsidTr="008B7EB8">
        <w:trPr>
          <w:trHeight w:val="675"/>
          <w:jc w:val="center"/>
        </w:trPr>
        <w:tc>
          <w:tcPr>
            <w:tcW w:w="1622" w:type="pct"/>
            <w:tcBorders>
              <w:top w:val="nil"/>
              <w:left w:val="single" w:sz="4" w:space="0" w:color="auto"/>
              <w:bottom w:val="single" w:sz="4" w:space="0" w:color="auto"/>
              <w:right w:val="single" w:sz="4" w:space="0" w:color="auto"/>
            </w:tcBorders>
            <w:shd w:val="clear" w:color="auto" w:fill="auto"/>
            <w:noWrap/>
            <w:vAlign w:val="center"/>
            <w:hideMark/>
          </w:tcPr>
          <w:p w14:paraId="35E40F8C" w14:textId="77777777" w:rsidR="00F70766" w:rsidRPr="000C775A" w:rsidRDefault="00F70766" w:rsidP="001627A4">
            <w:pPr>
              <w:spacing w:after="0" w:line="240" w:lineRule="auto"/>
              <w:rPr>
                <w:rFonts w:ascii="Aptos" w:eastAsia="Times New Roman" w:hAnsi="Aptos" w:cs="Calibri"/>
                <w:b/>
                <w:bCs/>
                <w:color w:val="000000"/>
                <w:sz w:val="18"/>
                <w:szCs w:val="18"/>
                <w:lang w:eastAsia="it-IT"/>
              </w:rPr>
            </w:pPr>
            <w:r w:rsidRPr="000C775A">
              <w:rPr>
                <w:rFonts w:ascii="Aptos" w:eastAsia="Times New Roman" w:hAnsi="Aptos" w:cs="Calibri"/>
                <w:b/>
                <w:bCs/>
                <w:color w:val="000000"/>
                <w:sz w:val="18"/>
                <w:szCs w:val="18"/>
                <w:lang w:eastAsia="it-IT"/>
              </w:rPr>
              <w:t>PERDITA ESERCIZIO FINALE 2023</w:t>
            </w:r>
          </w:p>
        </w:tc>
        <w:tc>
          <w:tcPr>
            <w:tcW w:w="695" w:type="pct"/>
            <w:tcBorders>
              <w:top w:val="nil"/>
              <w:left w:val="nil"/>
              <w:bottom w:val="single" w:sz="4" w:space="0" w:color="auto"/>
              <w:right w:val="single" w:sz="4" w:space="0" w:color="auto"/>
            </w:tcBorders>
            <w:shd w:val="clear" w:color="auto" w:fill="auto"/>
            <w:vAlign w:val="center"/>
            <w:hideMark/>
          </w:tcPr>
          <w:p w14:paraId="09354EE5" w14:textId="77777777" w:rsidR="00F70766" w:rsidRPr="000C775A" w:rsidRDefault="00F70766" w:rsidP="001627A4">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28.335.617 </w:t>
            </w:r>
          </w:p>
        </w:tc>
        <w:tc>
          <w:tcPr>
            <w:tcW w:w="696" w:type="pct"/>
            <w:tcBorders>
              <w:top w:val="nil"/>
              <w:left w:val="nil"/>
              <w:bottom w:val="single" w:sz="4" w:space="0" w:color="auto"/>
              <w:right w:val="single" w:sz="4" w:space="0" w:color="auto"/>
            </w:tcBorders>
            <w:shd w:val="clear" w:color="auto" w:fill="auto"/>
            <w:vAlign w:val="center"/>
            <w:hideMark/>
          </w:tcPr>
          <w:p w14:paraId="5D206348" w14:textId="50CA388B" w:rsidR="00F70766" w:rsidRPr="000C775A" w:rsidRDefault="008B7EB8" w:rsidP="001627A4">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w:t>
            </w:r>
            <w:r w:rsidR="00F70766" w:rsidRPr="000C775A">
              <w:rPr>
                <w:rFonts w:ascii="Aptos" w:eastAsia="Times New Roman" w:hAnsi="Aptos" w:cs="Calibri"/>
                <w:b/>
                <w:bCs/>
                <w:sz w:val="20"/>
                <w:szCs w:val="20"/>
                <w:lang w:eastAsia="it-IT"/>
              </w:rPr>
              <w:t xml:space="preserve">12.767.684 </w:t>
            </w:r>
          </w:p>
        </w:tc>
        <w:tc>
          <w:tcPr>
            <w:tcW w:w="681" w:type="pct"/>
            <w:tcBorders>
              <w:top w:val="nil"/>
              <w:left w:val="nil"/>
              <w:bottom w:val="single" w:sz="4" w:space="0" w:color="auto"/>
              <w:right w:val="single" w:sz="4" w:space="0" w:color="auto"/>
            </w:tcBorders>
            <w:shd w:val="clear" w:color="auto" w:fill="auto"/>
            <w:vAlign w:val="center"/>
            <w:hideMark/>
          </w:tcPr>
          <w:p w14:paraId="3E8DB4EC" w14:textId="1E377CAA" w:rsidR="00F70766" w:rsidRPr="000C775A" w:rsidRDefault="008B7EB8" w:rsidP="001627A4">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w:t>
            </w:r>
            <w:r w:rsidR="00F70766" w:rsidRPr="000C775A">
              <w:rPr>
                <w:rFonts w:ascii="Aptos" w:eastAsia="Times New Roman" w:hAnsi="Aptos" w:cs="Calibri"/>
                <w:b/>
                <w:bCs/>
                <w:sz w:val="20"/>
                <w:szCs w:val="20"/>
                <w:lang w:eastAsia="it-IT"/>
              </w:rPr>
              <w:t xml:space="preserve">6.179.885 </w:t>
            </w:r>
          </w:p>
        </w:tc>
        <w:tc>
          <w:tcPr>
            <w:tcW w:w="626" w:type="pct"/>
            <w:tcBorders>
              <w:top w:val="nil"/>
              <w:left w:val="nil"/>
              <w:bottom w:val="single" w:sz="4" w:space="0" w:color="auto"/>
              <w:right w:val="single" w:sz="4" w:space="0" w:color="auto"/>
            </w:tcBorders>
            <w:shd w:val="clear" w:color="auto" w:fill="auto"/>
            <w:vAlign w:val="center"/>
            <w:hideMark/>
          </w:tcPr>
          <w:p w14:paraId="5D628D8F" w14:textId="6D984EA6" w:rsidR="00F70766" w:rsidRPr="000C775A" w:rsidRDefault="00F70766" w:rsidP="008B7EB8">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705.275</w:t>
            </w:r>
          </w:p>
        </w:tc>
        <w:tc>
          <w:tcPr>
            <w:tcW w:w="681" w:type="pct"/>
            <w:tcBorders>
              <w:top w:val="nil"/>
              <w:left w:val="nil"/>
              <w:bottom w:val="single" w:sz="4" w:space="0" w:color="auto"/>
              <w:right w:val="single" w:sz="4" w:space="0" w:color="auto"/>
            </w:tcBorders>
            <w:shd w:val="clear" w:color="auto" w:fill="auto"/>
            <w:vAlign w:val="center"/>
            <w:hideMark/>
          </w:tcPr>
          <w:p w14:paraId="28DDA043" w14:textId="2077D45A" w:rsidR="00F70766" w:rsidRPr="000C775A" w:rsidRDefault="008B7EB8" w:rsidP="001627A4">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w:t>
            </w:r>
            <w:r w:rsidR="00F70766" w:rsidRPr="000C775A">
              <w:rPr>
                <w:rFonts w:ascii="Aptos" w:eastAsia="Times New Roman" w:hAnsi="Aptos" w:cs="Calibri"/>
                <w:b/>
                <w:bCs/>
                <w:sz w:val="20"/>
                <w:szCs w:val="20"/>
                <w:lang w:eastAsia="it-IT"/>
              </w:rPr>
              <w:t xml:space="preserve">46.577.911 </w:t>
            </w:r>
          </w:p>
        </w:tc>
      </w:tr>
      <w:tr w:rsidR="008B7EB8" w:rsidRPr="000C775A" w14:paraId="7450F092" w14:textId="77777777" w:rsidTr="008B7EB8">
        <w:trPr>
          <w:trHeight w:val="699"/>
          <w:jc w:val="center"/>
        </w:trPr>
        <w:tc>
          <w:tcPr>
            <w:tcW w:w="1622" w:type="pct"/>
            <w:tcBorders>
              <w:top w:val="nil"/>
              <w:left w:val="single" w:sz="4" w:space="0" w:color="auto"/>
              <w:bottom w:val="single" w:sz="4" w:space="0" w:color="auto"/>
              <w:right w:val="single" w:sz="4" w:space="0" w:color="auto"/>
            </w:tcBorders>
            <w:shd w:val="clear" w:color="auto" w:fill="auto"/>
            <w:noWrap/>
            <w:vAlign w:val="center"/>
            <w:hideMark/>
          </w:tcPr>
          <w:p w14:paraId="2B837892" w14:textId="77777777" w:rsidR="008B7EB8" w:rsidRPr="000C775A" w:rsidRDefault="008B7EB8" w:rsidP="008B7EB8">
            <w:pPr>
              <w:spacing w:after="0" w:line="240" w:lineRule="auto"/>
              <w:rPr>
                <w:rFonts w:ascii="Aptos" w:eastAsia="Times New Roman" w:hAnsi="Aptos" w:cs="Calibri"/>
                <w:b/>
                <w:bCs/>
                <w:color w:val="000000"/>
                <w:sz w:val="18"/>
                <w:szCs w:val="18"/>
                <w:lang w:eastAsia="it-IT"/>
              </w:rPr>
            </w:pPr>
            <w:r w:rsidRPr="000C775A">
              <w:rPr>
                <w:rFonts w:ascii="Aptos" w:eastAsia="Times New Roman" w:hAnsi="Aptos" w:cs="Calibri"/>
                <w:b/>
                <w:bCs/>
                <w:color w:val="000000"/>
                <w:sz w:val="18"/>
                <w:szCs w:val="18"/>
                <w:lang w:eastAsia="it-IT"/>
              </w:rPr>
              <w:t>RISULTATO CE IV TRIMESTRE 2024</w:t>
            </w:r>
          </w:p>
          <w:p w14:paraId="6DB547B6" w14:textId="2BF65039" w:rsidR="008B7EB8" w:rsidRPr="000C775A" w:rsidRDefault="008B7EB8" w:rsidP="008B7EB8">
            <w:pPr>
              <w:spacing w:after="0" w:line="240" w:lineRule="auto"/>
              <w:rPr>
                <w:rFonts w:ascii="Aptos" w:eastAsia="Times New Roman" w:hAnsi="Aptos" w:cs="Calibri"/>
                <w:b/>
                <w:bCs/>
                <w:color w:val="000000"/>
                <w:sz w:val="18"/>
                <w:szCs w:val="18"/>
                <w:lang w:eastAsia="it-IT"/>
              </w:rPr>
            </w:pPr>
            <w:r w:rsidRPr="000C775A">
              <w:rPr>
                <w:rFonts w:ascii="Aptos" w:eastAsia="Times New Roman" w:hAnsi="Aptos" w:cs="Calibri"/>
                <w:b/>
                <w:bCs/>
                <w:color w:val="000000"/>
                <w:sz w:val="18"/>
                <w:szCs w:val="18"/>
                <w:lang w:eastAsia="it-IT"/>
              </w:rPr>
              <w:t xml:space="preserve">post riparto </w:t>
            </w:r>
            <w:r w:rsidRPr="000C775A">
              <w:rPr>
                <w:rFonts w:ascii="Aptos" w:eastAsia="Times New Roman" w:hAnsi="Aptos" w:cs="Calibri"/>
                <w:b/>
                <w:bCs/>
                <w:color w:val="000000"/>
                <w:sz w:val="18"/>
                <w:szCs w:val="18"/>
                <w:u w:val="single"/>
                <w:lang w:eastAsia="it-IT"/>
              </w:rPr>
              <w:t>PROVVISORIO*</w:t>
            </w:r>
          </w:p>
        </w:tc>
        <w:tc>
          <w:tcPr>
            <w:tcW w:w="695" w:type="pct"/>
            <w:tcBorders>
              <w:top w:val="nil"/>
              <w:left w:val="nil"/>
              <w:bottom w:val="single" w:sz="4" w:space="0" w:color="auto"/>
              <w:right w:val="single" w:sz="4" w:space="0" w:color="auto"/>
            </w:tcBorders>
            <w:shd w:val="clear" w:color="auto" w:fill="auto"/>
            <w:noWrap/>
            <w:vAlign w:val="center"/>
            <w:hideMark/>
          </w:tcPr>
          <w:p w14:paraId="5E8D06AE" w14:textId="34E3433B" w:rsidR="008B7EB8" w:rsidRPr="000C775A" w:rsidRDefault="008B7EB8" w:rsidP="008B7EB8">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20.576.753 </w:t>
            </w:r>
          </w:p>
        </w:tc>
        <w:tc>
          <w:tcPr>
            <w:tcW w:w="696" w:type="pct"/>
            <w:tcBorders>
              <w:top w:val="nil"/>
              <w:left w:val="nil"/>
              <w:bottom w:val="single" w:sz="4" w:space="0" w:color="auto"/>
              <w:right w:val="single" w:sz="4" w:space="0" w:color="auto"/>
            </w:tcBorders>
            <w:shd w:val="clear" w:color="auto" w:fill="auto"/>
            <w:noWrap/>
            <w:vAlign w:val="center"/>
            <w:hideMark/>
          </w:tcPr>
          <w:p w14:paraId="63461AE6" w14:textId="6B7ADDD8" w:rsidR="008B7EB8" w:rsidRPr="000C775A" w:rsidRDefault="008B7EB8" w:rsidP="008B7EB8">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19.546.528 </w:t>
            </w:r>
          </w:p>
        </w:tc>
        <w:tc>
          <w:tcPr>
            <w:tcW w:w="681" w:type="pct"/>
            <w:tcBorders>
              <w:top w:val="nil"/>
              <w:left w:val="nil"/>
              <w:bottom w:val="single" w:sz="4" w:space="0" w:color="auto"/>
              <w:right w:val="single" w:sz="4" w:space="0" w:color="auto"/>
            </w:tcBorders>
            <w:shd w:val="clear" w:color="auto" w:fill="auto"/>
            <w:noWrap/>
            <w:vAlign w:val="center"/>
            <w:hideMark/>
          </w:tcPr>
          <w:p w14:paraId="1382D3A8" w14:textId="2AC25A21" w:rsidR="008B7EB8" w:rsidRPr="000C775A" w:rsidRDefault="008B7EB8" w:rsidP="008B7EB8">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10.959.602 </w:t>
            </w:r>
          </w:p>
        </w:tc>
        <w:tc>
          <w:tcPr>
            <w:tcW w:w="626" w:type="pct"/>
            <w:tcBorders>
              <w:top w:val="nil"/>
              <w:left w:val="nil"/>
              <w:bottom w:val="single" w:sz="4" w:space="0" w:color="auto"/>
              <w:right w:val="single" w:sz="4" w:space="0" w:color="auto"/>
            </w:tcBorders>
            <w:shd w:val="clear" w:color="auto" w:fill="auto"/>
            <w:noWrap/>
            <w:vAlign w:val="center"/>
            <w:hideMark/>
          </w:tcPr>
          <w:p w14:paraId="1CFE8F4D" w14:textId="384AB769" w:rsidR="008B7EB8" w:rsidRPr="000C775A" w:rsidRDefault="008B7EB8" w:rsidP="008B7EB8">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644.010 </w:t>
            </w:r>
          </w:p>
        </w:tc>
        <w:tc>
          <w:tcPr>
            <w:tcW w:w="681" w:type="pct"/>
            <w:tcBorders>
              <w:top w:val="nil"/>
              <w:left w:val="nil"/>
              <w:bottom w:val="single" w:sz="4" w:space="0" w:color="auto"/>
              <w:right w:val="single" w:sz="4" w:space="0" w:color="auto"/>
            </w:tcBorders>
            <w:shd w:val="clear" w:color="auto" w:fill="auto"/>
            <w:noWrap/>
            <w:vAlign w:val="center"/>
            <w:hideMark/>
          </w:tcPr>
          <w:p w14:paraId="6CCC4A72" w14:textId="35777850" w:rsidR="008B7EB8" w:rsidRPr="000C775A" w:rsidRDefault="008B7EB8" w:rsidP="008B7EB8">
            <w:pPr>
              <w:spacing w:after="0" w:line="240" w:lineRule="auto"/>
              <w:jc w:val="center"/>
              <w:rPr>
                <w:rFonts w:ascii="Aptos" w:eastAsia="Times New Roman" w:hAnsi="Aptos" w:cs="Calibri"/>
                <w:b/>
                <w:bCs/>
                <w:sz w:val="20"/>
                <w:szCs w:val="20"/>
                <w:lang w:eastAsia="it-IT"/>
              </w:rPr>
            </w:pPr>
            <w:r w:rsidRPr="000C775A">
              <w:rPr>
                <w:rFonts w:ascii="Aptos" w:eastAsia="Times New Roman" w:hAnsi="Aptos" w:cs="Calibri"/>
                <w:b/>
                <w:bCs/>
                <w:sz w:val="20"/>
                <w:szCs w:val="20"/>
                <w:lang w:eastAsia="it-IT"/>
              </w:rPr>
              <w:t xml:space="preserve">-   50.438.874* </w:t>
            </w:r>
          </w:p>
        </w:tc>
      </w:tr>
    </w:tbl>
    <w:p w14:paraId="602A064D" w14:textId="77777777" w:rsidR="00F70766" w:rsidRPr="000C775A" w:rsidRDefault="00F70766" w:rsidP="00F70766">
      <w:pPr>
        <w:spacing w:before="120" w:after="120" w:line="240" w:lineRule="auto"/>
        <w:jc w:val="both"/>
        <w:rPr>
          <w:rFonts w:ascii="Aptos" w:hAnsi="Aptos"/>
        </w:rPr>
      </w:pPr>
    </w:p>
    <w:p w14:paraId="5AA016B9" w14:textId="253F9A41" w:rsidR="00B27408" w:rsidRDefault="00F70766" w:rsidP="00F70766">
      <w:pPr>
        <w:spacing w:before="120" w:after="120" w:line="240" w:lineRule="auto"/>
        <w:jc w:val="both"/>
        <w:rPr>
          <w:rFonts w:ascii="Aptos" w:hAnsi="Aptos"/>
          <w:b/>
          <w:u w:val="single"/>
        </w:rPr>
      </w:pPr>
      <w:r w:rsidRPr="000C775A">
        <w:rPr>
          <w:rFonts w:ascii="Aptos" w:hAnsi="Aptos"/>
        </w:rPr>
        <w:t>Sebbene si tratti di dati che dovranno essere definitivamente rilevati nei bilanci consuntivi, si evidenzia come nonostante le maggiori assegnazioni</w:t>
      </w:r>
      <w:r w:rsidRPr="000C775A">
        <w:rPr>
          <w:rFonts w:ascii="Aptos" w:hAnsi="Aptos"/>
          <w:b/>
        </w:rPr>
        <w:t xml:space="preserve">, </w:t>
      </w:r>
      <w:r w:rsidRPr="000C775A">
        <w:rPr>
          <w:rFonts w:ascii="Aptos" w:hAnsi="Aptos"/>
          <w:b/>
          <w:u w:val="single"/>
        </w:rPr>
        <w:t>il risultato finale di esercizio</w:t>
      </w:r>
      <w:r w:rsidR="008B7EB8" w:rsidRPr="000C775A">
        <w:rPr>
          <w:rFonts w:ascii="Aptos" w:hAnsi="Aptos"/>
          <w:b/>
          <w:u w:val="single"/>
        </w:rPr>
        <w:t xml:space="preserve"> </w:t>
      </w:r>
      <w:r w:rsidR="00B27408">
        <w:rPr>
          <w:rFonts w:ascii="Aptos" w:hAnsi="Aptos"/>
          <w:b/>
          <w:u w:val="single"/>
        </w:rPr>
        <w:t xml:space="preserve">relativo al CE IV Trimestre 2024, </w:t>
      </w:r>
      <w:r w:rsidRPr="000C775A">
        <w:rPr>
          <w:rFonts w:ascii="Aptos" w:hAnsi="Aptos"/>
          <w:b/>
          <w:u w:val="single"/>
        </w:rPr>
        <w:t>registra perdite</w:t>
      </w:r>
      <w:r w:rsidR="00FB1543" w:rsidRPr="000C775A">
        <w:rPr>
          <w:rFonts w:ascii="Aptos" w:hAnsi="Aptos"/>
          <w:b/>
          <w:u w:val="single"/>
        </w:rPr>
        <w:t xml:space="preserve"> </w:t>
      </w:r>
      <w:r w:rsidR="00B27408">
        <w:rPr>
          <w:rFonts w:ascii="Aptos" w:hAnsi="Aptos"/>
          <w:b/>
          <w:u w:val="single"/>
        </w:rPr>
        <w:t xml:space="preserve">per </w:t>
      </w:r>
      <w:r w:rsidR="008B7EB8" w:rsidRPr="000C775A">
        <w:rPr>
          <w:rFonts w:ascii="Aptos" w:hAnsi="Aptos"/>
          <w:b/>
          <w:u w:val="single"/>
        </w:rPr>
        <w:t xml:space="preserve">circa </w:t>
      </w:r>
      <w:r w:rsidR="00FB1543" w:rsidRPr="000C775A">
        <w:rPr>
          <w:rFonts w:ascii="Aptos" w:hAnsi="Aptos"/>
          <w:b/>
          <w:u w:val="single"/>
        </w:rPr>
        <w:t>-50</w:t>
      </w:r>
      <w:r w:rsidR="008B7EB8" w:rsidRPr="000C775A">
        <w:rPr>
          <w:rFonts w:ascii="Aptos" w:hAnsi="Aptos"/>
          <w:b/>
          <w:u w:val="single"/>
        </w:rPr>
        <w:t>,4</w:t>
      </w:r>
      <w:r w:rsidRPr="000C775A">
        <w:rPr>
          <w:rFonts w:ascii="Aptos" w:hAnsi="Aptos"/>
          <w:b/>
          <w:u w:val="single"/>
        </w:rPr>
        <w:t xml:space="preserve"> mln</w:t>
      </w:r>
      <w:r w:rsidR="00B27408">
        <w:rPr>
          <w:rFonts w:ascii="Aptos" w:hAnsi="Aptos"/>
          <w:b/>
          <w:u w:val="single"/>
        </w:rPr>
        <w:t>,</w:t>
      </w:r>
    </w:p>
    <w:p w14:paraId="47409C27" w14:textId="73B25196" w:rsidR="00F70766" w:rsidRPr="00EC5A23" w:rsidRDefault="00B27408" w:rsidP="00F70766">
      <w:pPr>
        <w:spacing w:before="120" w:after="120" w:line="240" w:lineRule="auto"/>
        <w:jc w:val="both"/>
        <w:rPr>
          <w:rFonts w:ascii="Aptos" w:hAnsi="Aptos"/>
        </w:rPr>
      </w:pPr>
      <w:r>
        <w:rPr>
          <w:rFonts w:ascii="Aptos" w:hAnsi="Aptos"/>
          <w:b/>
        </w:rPr>
        <w:t>Fatto salv</w:t>
      </w:r>
      <w:r w:rsidR="00884672">
        <w:rPr>
          <w:rFonts w:ascii="Aptos" w:hAnsi="Aptos"/>
          <w:b/>
        </w:rPr>
        <w:t>o</w:t>
      </w:r>
      <w:bookmarkStart w:id="0" w:name="_GoBack"/>
      <w:bookmarkEnd w:id="0"/>
      <w:r>
        <w:rPr>
          <w:rFonts w:ascii="Aptos" w:hAnsi="Aptos"/>
          <w:b/>
        </w:rPr>
        <w:t xml:space="preserve"> il definitivo accertamento </w:t>
      </w:r>
      <w:r w:rsidR="008B7EB8" w:rsidRPr="000C775A">
        <w:rPr>
          <w:rFonts w:ascii="Aptos" w:hAnsi="Aptos"/>
          <w:b/>
        </w:rPr>
        <w:t xml:space="preserve">del </w:t>
      </w:r>
      <w:proofErr w:type="spellStart"/>
      <w:r w:rsidR="008B7EB8" w:rsidRPr="000C775A">
        <w:rPr>
          <w:rFonts w:ascii="Aptos" w:hAnsi="Aptos"/>
          <w:b/>
        </w:rPr>
        <w:t>Payback</w:t>
      </w:r>
      <w:proofErr w:type="spellEnd"/>
      <w:r w:rsidR="008B7EB8" w:rsidRPr="000C775A">
        <w:rPr>
          <w:rFonts w:ascii="Aptos" w:hAnsi="Aptos"/>
          <w:b/>
        </w:rPr>
        <w:t xml:space="preserve"> e di altre </w:t>
      </w:r>
      <w:r w:rsidR="000C775A">
        <w:rPr>
          <w:rFonts w:ascii="Aptos" w:hAnsi="Aptos"/>
          <w:b/>
        </w:rPr>
        <w:t>partite finanziarie aggiuntive</w:t>
      </w:r>
      <w:r>
        <w:rPr>
          <w:rFonts w:ascii="Aptos" w:hAnsi="Aptos"/>
          <w:b/>
        </w:rPr>
        <w:t>,</w:t>
      </w:r>
      <w:r w:rsidR="00065613">
        <w:rPr>
          <w:rFonts w:ascii="Aptos" w:hAnsi="Aptos"/>
          <w:b/>
        </w:rPr>
        <w:t xml:space="preserve"> che potrebbero determinare </w:t>
      </w:r>
      <w:r w:rsidR="008B7EB8" w:rsidRPr="000C775A">
        <w:rPr>
          <w:rFonts w:ascii="Aptos" w:hAnsi="Aptos"/>
          <w:b/>
        </w:rPr>
        <w:t xml:space="preserve">un </w:t>
      </w:r>
      <w:r w:rsidR="000C775A">
        <w:rPr>
          <w:rFonts w:ascii="Aptos" w:hAnsi="Aptos"/>
          <w:b/>
        </w:rPr>
        <w:t xml:space="preserve">incremento di ricavi ulteriori </w:t>
      </w:r>
      <w:r w:rsidR="008B7EB8" w:rsidRPr="000C775A">
        <w:rPr>
          <w:rFonts w:ascii="Aptos" w:hAnsi="Aptos"/>
          <w:b/>
        </w:rPr>
        <w:t>tra i 15</w:t>
      </w:r>
      <w:r w:rsidR="008B7EB8" w:rsidRPr="008B7EB8">
        <w:rPr>
          <w:rFonts w:ascii="Aptos" w:hAnsi="Aptos"/>
          <w:b/>
        </w:rPr>
        <w:t xml:space="preserve"> Mln ed i 20 Mln</w:t>
      </w:r>
      <w:r w:rsidR="008B7EB8">
        <w:rPr>
          <w:rFonts w:ascii="Aptos" w:hAnsi="Aptos"/>
          <w:b/>
        </w:rPr>
        <w:t>,</w:t>
      </w:r>
      <w:r w:rsidR="00F70766" w:rsidRPr="00EC5A23">
        <w:rPr>
          <w:rFonts w:ascii="Aptos" w:hAnsi="Aptos"/>
        </w:rPr>
        <w:t xml:space="preserve"> si rende necessario individuare con urgenza le relative fonti di copertura a carico del Bilancio regionale, entro il 30 aprile 2024.</w:t>
      </w:r>
    </w:p>
    <w:p w14:paraId="14B35864" w14:textId="77777777" w:rsidR="00F70766" w:rsidRPr="00EC5A23" w:rsidRDefault="00F70766" w:rsidP="00F70766">
      <w:pPr>
        <w:spacing w:before="120" w:after="120" w:line="240" w:lineRule="auto"/>
        <w:jc w:val="both"/>
        <w:rPr>
          <w:rFonts w:ascii="Aptos" w:hAnsi="Aptos"/>
        </w:rPr>
      </w:pPr>
      <w:r w:rsidRPr="00EC5A23">
        <w:rPr>
          <w:rFonts w:ascii="Aptos" w:hAnsi="Aptos"/>
        </w:rPr>
        <w:t>Da una prima analisi delle voci riportate nei conti economici la perdita deriva dalle seguenti componenti di spesa, che erano state già oggetto di specifici provvedimenti, attestando la responsabilità nella esecuzione degli stessi in capo alle Direzioni strategiche aziendali:</w:t>
      </w:r>
    </w:p>
    <w:p w14:paraId="3F52AE19" w14:textId="55CCE646" w:rsidR="00F70766" w:rsidRPr="00EC5A23" w:rsidRDefault="00F70766" w:rsidP="00F70766">
      <w:pPr>
        <w:pStyle w:val="Paragrafoelenco"/>
        <w:numPr>
          <w:ilvl w:val="0"/>
          <w:numId w:val="32"/>
        </w:numPr>
        <w:spacing w:after="120" w:line="240" w:lineRule="auto"/>
        <w:contextualSpacing w:val="0"/>
        <w:jc w:val="both"/>
        <w:rPr>
          <w:rFonts w:ascii="Aptos" w:hAnsi="Aptos"/>
          <w:b/>
        </w:rPr>
      </w:pPr>
      <w:r w:rsidRPr="00EC5A23">
        <w:rPr>
          <w:rFonts w:ascii="Aptos" w:hAnsi="Aptos"/>
          <w:b/>
        </w:rPr>
        <w:t xml:space="preserve">Incremento Spesa Farmaceutica </w:t>
      </w:r>
      <w:r w:rsidR="001627A4">
        <w:rPr>
          <w:rFonts w:ascii="Aptos" w:hAnsi="Aptos"/>
          <w:b/>
        </w:rPr>
        <w:t>C</w:t>
      </w:r>
      <w:r w:rsidRPr="00EC5A23">
        <w:rPr>
          <w:rFonts w:ascii="Aptos" w:hAnsi="Aptos"/>
          <w:b/>
        </w:rPr>
        <w:t>onvenzionata +4,5 mln</w:t>
      </w:r>
    </w:p>
    <w:p w14:paraId="61EDD0A5" w14:textId="4428C504" w:rsidR="00F70766" w:rsidRPr="00EC5A23" w:rsidRDefault="00F70766" w:rsidP="00F70766">
      <w:pPr>
        <w:spacing w:after="120" w:line="240" w:lineRule="auto"/>
        <w:ind w:left="709"/>
        <w:jc w:val="both"/>
        <w:rPr>
          <w:rFonts w:ascii="Aptos" w:hAnsi="Aptos"/>
        </w:rPr>
      </w:pPr>
      <w:r w:rsidRPr="00EC5A23">
        <w:rPr>
          <w:rFonts w:ascii="Aptos" w:hAnsi="Aptos"/>
        </w:rPr>
        <w:t xml:space="preserve">La Direzione Generale per la Salute e le politiche </w:t>
      </w:r>
      <w:r w:rsidR="00F52D24">
        <w:rPr>
          <w:rFonts w:ascii="Aptos" w:hAnsi="Aptos"/>
        </w:rPr>
        <w:t>della</w:t>
      </w:r>
      <w:r w:rsidRPr="00EC5A23">
        <w:rPr>
          <w:rFonts w:ascii="Aptos" w:hAnsi="Aptos"/>
        </w:rPr>
        <w:t xml:space="preserve"> persona, con Determinazione Dirigenziale n. 104 del 28/3/2024 dell’Ufficio Pianificazione Sanitarie, aveva individuato in capo alle Direzione Generali delle aziende sanitarie una serie di misure da porre in essere al fine di conseguire una razionalizzazione della spesa farmaceutica, finalizzata al rispetto del tetto di spesa nazionale (7% del fondo indistinto), che avrebbe dovuto determinare nel corso del 2024 una riduzione attesa in termini di minore costo per 4 mln di euro, specificando che la mancata attuazione delle stesse sarebbe stata oggetto di apposita analisi in sede di valutazione della performance dei DG. </w:t>
      </w:r>
    </w:p>
    <w:p w14:paraId="7B6A226E" w14:textId="737CF5BE" w:rsidR="00F70766" w:rsidRPr="00EC5A23" w:rsidRDefault="00F70766" w:rsidP="00F70766">
      <w:pPr>
        <w:spacing w:after="120" w:line="240" w:lineRule="auto"/>
        <w:ind w:left="709"/>
        <w:jc w:val="both"/>
        <w:rPr>
          <w:rFonts w:ascii="Aptos" w:hAnsi="Aptos"/>
        </w:rPr>
      </w:pPr>
      <w:r w:rsidRPr="00EC5A23">
        <w:rPr>
          <w:rFonts w:ascii="Aptos" w:hAnsi="Aptos"/>
        </w:rPr>
        <w:t xml:space="preserve">Dalle risultanze del CE IV Trimestre 2024, emerge che la spesa per acquisto di farmaci non si è ridotta, ma ha subito un incremento ulteriore di </w:t>
      </w:r>
      <w:r w:rsidRPr="0091206F">
        <w:rPr>
          <w:rFonts w:ascii="Aptos" w:hAnsi="Aptos"/>
          <w:b/>
        </w:rPr>
        <w:t>+</w:t>
      </w:r>
      <w:r w:rsidR="001627A4" w:rsidRPr="0091206F">
        <w:rPr>
          <w:rFonts w:ascii="Aptos" w:hAnsi="Aptos"/>
          <w:b/>
        </w:rPr>
        <w:t xml:space="preserve"> </w:t>
      </w:r>
      <w:r w:rsidRPr="0091206F">
        <w:rPr>
          <w:rFonts w:ascii="Aptos" w:hAnsi="Aptos"/>
          <w:b/>
        </w:rPr>
        <w:t>4,5 mln</w:t>
      </w:r>
      <w:r w:rsidRPr="00EC5A23">
        <w:rPr>
          <w:rFonts w:ascii="Aptos" w:hAnsi="Aptos"/>
        </w:rPr>
        <w:t xml:space="preserve"> di euro, come evidenziato nella tabella successiva.</w:t>
      </w:r>
    </w:p>
    <w:tbl>
      <w:tblPr>
        <w:tblW w:w="9639" w:type="dxa"/>
        <w:tblInd w:w="279" w:type="dxa"/>
        <w:tblCellMar>
          <w:left w:w="70" w:type="dxa"/>
          <w:right w:w="70" w:type="dxa"/>
        </w:tblCellMar>
        <w:tblLook w:val="04A0" w:firstRow="1" w:lastRow="0" w:firstColumn="1" w:lastColumn="0" w:noHBand="0" w:noVBand="1"/>
      </w:tblPr>
      <w:tblGrid>
        <w:gridCol w:w="852"/>
        <w:gridCol w:w="1832"/>
        <w:gridCol w:w="1144"/>
        <w:gridCol w:w="1240"/>
        <w:gridCol w:w="1240"/>
        <w:gridCol w:w="1032"/>
        <w:gridCol w:w="842"/>
        <w:gridCol w:w="1457"/>
      </w:tblGrid>
      <w:tr w:rsidR="00F70766" w:rsidRPr="0091206F" w14:paraId="6920B296" w14:textId="77777777" w:rsidTr="0091206F">
        <w:trPr>
          <w:trHeight w:val="450"/>
        </w:trPr>
        <w:tc>
          <w:tcPr>
            <w:tcW w:w="757" w:type="dxa"/>
            <w:tcBorders>
              <w:top w:val="single" w:sz="4" w:space="0" w:color="auto"/>
              <w:left w:val="single" w:sz="4" w:space="0" w:color="auto"/>
              <w:bottom w:val="single" w:sz="4" w:space="0" w:color="auto"/>
              <w:right w:val="single" w:sz="4" w:space="0" w:color="auto"/>
            </w:tcBorders>
            <w:vAlign w:val="center"/>
          </w:tcPr>
          <w:p w14:paraId="31B7C3A8" w14:textId="77777777" w:rsidR="00F70766" w:rsidRPr="0091206F" w:rsidRDefault="00F70766" w:rsidP="001627A4">
            <w:pPr>
              <w:spacing w:after="0" w:line="240" w:lineRule="auto"/>
              <w:rPr>
                <w:rFonts w:ascii="Aptos" w:eastAsia="Times New Roman" w:hAnsi="Aptos" w:cs="Calibri"/>
                <w:b/>
                <w:color w:val="000000"/>
                <w:sz w:val="20"/>
                <w:szCs w:val="20"/>
                <w:lang w:eastAsia="it-IT"/>
              </w:rPr>
            </w:pPr>
            <w:proofErr w:type="spellStart"/>
            <w:r w:rsidRPr="0091206F">
              <w:rPr>
                <w:rFonts w:ascii="Aptos" w:eastAsia="Times New Roman" w:hAnsi="Aptos" w:cs="Calibri"/>
                <w:b/>
                <w:color w:val="000000"/>
                <w:sz w:val="20"/>
                <w:szCs w:val="20"/>
                <w:lang w:eastAsia="it-IT"/>
              </w:rPr>
              <w:t>Cod</w:t>
            </w:r>
            <w:proofErr w:type="spellEnd"/>
            <w:r w:rsidRPr="0091206F">
              <w:rPr>
                <w:rFonts w:ascii="Aptos" w:eastAsia="Times New Roman" w:hAnsi="Aptos" w:cs="Calibri"/>
                <w:b/>
                <w:color w:val="000000"/>
                <w:sz w:val="20"/>
                <w:szCs w:val="20"/>
                <w:lang w:eastAsia="it-IT"/>
              </w:rPr>
              <w:t xml:space="preserve"> CE</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9DADF" w14:textId="77777777" w:rsidR="00F70766" w:rsidRPr="0091206F" w:rsidRDefault="00F70766" w:rsidP="001627A4">
            <w:pPr>
              <w:spacing w:after="0" w:line="240" w:lineRule="auto"/>
              <w:rPr>
                <w:rFonts w:ascii="Aptos" w:eastAsia="Times New Roman" w:hAnsi="Aptos" w:cs="Calibri"/>
                <w:b/>
                <w:color w:val="000000"/>
                <w:sz w:val="20"/>
                <w:szCs w:val="20"/>
                <w:lang w:eastAsia="it-IT"/>
              </w:rPr>
            </w:pPr>
            <w:r w:rsidRPr="0091206F">
              <w:rPr>
                <w:rFonts w:ascii="Aptos" w:eastAsia="Times New Roman" w:hAnsi="Aptos" w:cs="Calibri"/>
                <w:b/>
                <w:color w:val="000000"/>
                <w:sz w:val="20"/>
                <w:szCs w:val="20"/>
                <w:lang w:eastAsia="it-IT"/>
              </w:rPr>
              <w:t>Descrizione</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4DAE8ADB" w14:textId="77777777" w:rsidR="00F70766" w:rsidRPr="0091206F" w:rsidRDefault="00F70766" w:rsidP="001627A4">
            <w:pPr>
              <w:spacing w:after="0" w:line="240" w:lineRule="auto"/>
              <w:jc w:val="center"/>
              <w:rPr>
                <w:rFonts w:ascii="Aptos" w:eastAsia="Times New Roman" w:hAnsi="Aptos" w:cs="Calibri"/>
                <w:b/>
                <w:color w:val="000000"/>
                <w:sz w:val="20"/>
                <w:szCs w:val="20"/>
                <w:lang w:eastAsia="it-IT"/>
              </w:rPr>
            </w:pPr>
            <w:r w:rsidRPr="0091206F">
              <w:rPr>
                <w:rFonts w:ascii="Aptos" w:eastAsia="Times New Roman" w:hAnsi="Aptos" w:cs="Calibri"/>
                <w:b/>
                <w:color w:val="000000"/>
                <w:sz w:val="20"/>
                <w:szCs w:val="20"/>
                <w:lang w:eastAsia="it-IT"/>
              </w:rPr>
              <w:t>IV CE 2024</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C11D87D" w14:textId="77777777" w:rsidR="00F70766" w:rsidRPr="0091206F" w:rsidRDefault="00F70766" w:rsidP="001627A4">
            <w:pPr>
              <w:spacing w:after="0" w:line="240" w:lineRule="auto"/>
              <w:jc w:val="center"/>
              <w:rPr>
                <w:rFonts w:ascii="Aptos" w:eastAsia="Times New Roman" w:hAnsi="Aptos" w:cs="Calibri"/>
                <w:b/>
                <w:color w:val="000000"/>
                <w:sz w:val="20"/>
                <w:szCs w:val="20"/>
                <w:lang w:eastAsia="it-IT"/>
              </w:rPr>
            </w:pPr>
            <w:r w:rsidRPr="0091206F">
              <w:rPr>
                <w:rFonts w:ascii="Aptos" w:eastAsia="Times New Roman" w:hAnsi="Aptos" w:cs="Calibri"/>
                <w:b/>
                <w:color w:val="000000"/>
                <w:sz w:val="20"/>
                <w:szCs w:val="20"/>
                <w:lang w:eastAsia="it-IT"/>
              </w:rPr>
              <w:t>Consuntivo 2023</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3AB0097" w14:textId="77777777" w:rsidR="00F70766" w:rsidRPr="0091206F" w:rsidRDefault="00F70766" w:rsidP="001627A4">
            <w:pPr>
              <w:spacing w:after="0" w:line="240" w:lineRule="auto"/>
              <w:jc w:val="center"/>
              <w:rPr>
                <w:rFonts w:ascii="Aptos" w:eastAsia="Times New Roman" w:hAnsi="Aptos" w:cs="Calibri"/>
                <w:b/>
                <w:color w:val="000000"/>
                <w:sz w:val="20"/>
                <w:szCs w:val="20"/>
                <w:lang w:eastAsia="it-IT"/>
              </w:rPr>
            </w:pPr>
            <w:r w:rsidRPr="0091206F">
              <w:rPr>
                <w:rFonts w:ascii="Aptos" w:eastAsia="Times New Roman" w:hAnsi="Aptos" w:cs="Calibri"/>
                <w:b/>
                <w:color w:val="000000"/>
                <w:sz w:val="20"/>
                <w:szCs w:val="20"/>
                <w:lang w:eastAsia="it-IT"/>
              </w:rPr>
              <w:t>Consuntivo 2022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224257C8" w14:textId="77777777" w:rsidR="00F70766" w:rsidRPr="0091206F" w:rsidRDefault="00F70766" w:rsidP="001627A4">
            <w:pPr>
              <w:spacing w:after="0" w:line="240" w:lineRule="auto"/>
              <w:jc w:val="center"/>
              <w:rPr>
                <w:rFonts w:ascii="Aptos" w:eastAsia="Times New Roman" w:hAnsi="Aptos" w:cs="Calibri"/>
                <w:b/>
                <w:color w:val="000000"/>
                <w:sz w:val="20"/>
                <w:szCs w:val="20"/>
                <w:lang w:eastAsia="it-IT"/>
              </w:rPr>
            </w:pPr>
            <w:proofErr w:type="spellStart"/>
            <w:r w:rsidRPr="0091206F">
              <w:rPr>
                <w:rFonts w:ascii="Aptos" w:eastAsia="Times New Roman" w:hAnsi="Aptos" w:cs="Calibri"/>
                <w:b/>
                <w:color w:val="000000"/>
                <w:sz w:val="20"/>
                <w:szCs w:val="20"/>
                <w:lang w:eastAsia="it-IT"/>
              </w:rPr>
              <w:t>scost</w:t>
            </w:r>
            <w:proofErr w:type="spellEnd"/>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662E4C9A" w14:textId="77777777" w:rsidR="00F70766" w:rsidRPr="0091206F" w:rsidRDefault="00F70766" w:rsidP="001627A4">
            <w:pPr>
              <w:spacing w:after="0" w:line="240" w:lineRule="auto"/>
              <w:jc w:val="center"/>
              <w:rPr>
                <w:rFonts w:ascii="Aptos" w:eastAsia="Times New Roman" w:hAnsi="Aptos" w:cs="Calibri"/>
                <w:b/>
                <w:color w:val="000000"/>
                <w:sz w:val="20"/>
                <w:szCs w:val="20"/>
                <w:lang w:eastAsia="it-IT"/>
              </w:rPr>
            </w:pPr>
            <w:proofErr w:type="spellStart"/>
            <w:r w:rsidRPr="0091206F">
              <w:rPr>
                <w:rFonts w:ascii="Aptos" w:eastAsia="Times New Roman" w:hAnsi="Aptos" w:cs="Calibri"/>
                <w:b/>
                <w:color w:val="000000"/>
                <w:sz w:val="20"/>
                <w:szCs w:val="20"/>
                <w:lang w:eastAsia="it-IT"/>
              </w:rPr>
              <w:t>Provv</w:t>
            </w:r>
            <w:proofErr w:type="spellEnd"/>
            <w:r w:rsidRPr="0091206F">
              <w:rPr>
                <w:rFonts w:ascii="Aptos" w:eastAsia="Times New Roman" w:hAnsi="Aptos" w:cs="Calibri"/>
                <w:b/>
                <w:color w:val="000000"/>
                <w:sz w:val="20"/>
                <w:szCs w:val="20"/>
                <w:lang w:eastAsia="it-IT"/>
              </w:rPr>
              <w:t>.</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193D8B96" w14:textId="77777777" w:rsidR="00F70766" w:rsidRPr="0091206F" w:rsidRDefault="00F70766" w:rsidP="001627A4">
            <w:pPr>
              <w:spacing w:after="0" w:line="240" w:lineRule="auto"/>
              <w:jc w:val="center"/>
              <w:rPr>
                <w:rFonts w:ascii="Aptos" w:eastAsia="Times New Roman" w:hAnsi="Aptos" w:cs="Calibri"/>
                <w:b/>
                <w:color w:val="000000"/>
                <w:sz w:val="20"/>
                <w:szCs w:val="20"/>
                <w:lang w:eastAsia="it-IT"/>
              </w:rPr>
            </w:pPr>
            <w:r w:rsidRPr="0091206F">
              <w:rPr>
                <w:rFonts w:ascii="Aptos" w:eastAsia="Times New Roman" w:hAnsi="Aptos" w:cs="Calibri"/>
                <w:b/>
                <w:color w:val="000000"/>
                <w:sz w:val="20"/>
                <w:szCs w:val="20"/>
                <w:lang w:eastAsia="it-IT"/>
              </w:rPr>
              <w:t xml:space="preserve"> riduzione attesa </w:t>
            </w:r>
          </w:p>
        </w:tc>
      </w:tr>
      <w:tr w:rsidR="00F70766" w:rsidRPr="0091206F" w14:paraId="4BD2F16D" w14:textId="77777777" w:rsidTr="0091206F">
        <w:trPr>
          <w:trHeight w:val="60"/>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0E11" w14:textId="77777777" w:rsidR="00F70766" w:rsidRPr="0091206F" w:rsidRDefault="00F70766" w:rsidP="001627A4">
            <w:pPr>
              <w:spacing w:after="0" w:line="240" w:lineRule="auto"/>
              <w:rPr>
                <w:rFonts w:ascii="Aptos" w:eastAsia="Times New Roman" w:hAnsi="Aptos" w:cs="Calibri"/>
                <w:color w:val="000000"/>
                <w:sz w:val="20"/>
                <w:szCs w:val="20"/>
                <w:lang w:eastAsia="it-IT"/>
              </w:rPr>
            </w:pPr>
            <w:r w:rsidRPr="0091206F">
              <w:rPr>
                <w:rFonts w:ascii="Aptos" w:eastAsia="Times New Roman" w:hAnsi="Aptos" w:cs="Calibri"/>
                <w:color w:val="000000"/>
                <w:sz w:val="20"/>
                <w:szCs w:val="20"/>
                <w:lang w:eastAsia="it-IT"/>
              </w:rPr>
              <w:t>BA0500</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33D87965" w14:textId="77777777" w:rsidR="00F70766" w:rsidRPr="0091206F" w:rsidRDefault="00F70766" w:rsidP="001627A4">
            <w:pPr>
              <w:spacing w:after="0" w:line="240" w:lineRule="auto"/>
              <w:rPr>
                <w:rFonts w:ascii="Aptos" w:eastAsia="Times New Roman" w:hAnsi="Aptos" w:cs="Calibri"/>
                <w:color w:val="000000"/>
                <w:sz w:val="20"/>
                <w:szCs w:val="20"/>
                <w:lang w:eastAsia="it-IT"/>
              </w:rPr>
            </w:pPr>
            <w:r w:rsidRPr="0091206F">
              <w:rPr>
                <w:rFonts w:ascii="Aptos" w:eastAsia="Times New Roman" w:hAnsi="Aptos" w:cs="Calibri"/>
                <w:color w:val="000000"/>
                <w:sz w:val="20"/>
                <w:szCs w:val="20"/>
                <w:lang w:eastAsia="it-IT"/>
              </w:rPr>
              <w:t xml:space="preserve">B.2.A.2.1) - FARMACEUTICA da convenzione - </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12B5DBA8" w14:textId="77777777" w:rsidR="00F70766" w:rsidRPr="0091206F" w:rsidRDefault="00F70766" w:rsidP="001627A4">
            <w:pPr>
              <w:spacing w:after="0" w:line="240" w:lineRule="auto"/>
              <w:jc w:val="center"/>
              <w:rPr>
                <w:rFonts w:ascii="Aptos" w:eastAsia="Times New Roman" w:hAnsi="Aptos" w:cs="Calibri"/>
                <w:b/>
                <w:color w:val="000000"/>
                <w:sz w:val="20"/>
                <w:szCs w:val="20"/>
                <w:lang w:eastAsia="it-IT"/>
              </w:rPr>
            </w:pPr>
            <w:r w:rsidRPr="0091206F">
              <w:rPr>
                <w:rFonts w:ascii="Aptos" w:eastAsia="Times New Roman" w:hAnsi="Aptos" w:cs="Calibri"/>
                <w:b/>
                <w:color w:val="000000"/>
                <w:sz w:val="20"/>
                <w:szCs w:val="20"/>
                <w:lang w:eastAsia="it-IT"/>
              </w:rPr>
              <w:t xml:space="preserve">93.214.207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65B865D7" w14:textId="77777777" w:rsidR="00F70766" w:rsidRPr="0091206F" w:rsidRDefault="00F70766" w:rsidP="001627A4">
            <w:pPr>
              <w:spacing w:after="0" w:line="240" w:lineRule="auto"/>
              <w:jc w:val="center"/>
              <w:rPr>
                <w:rFonts w:ascii="Aptos" w:eastAsia="Times New Roman" w:hAnsi="Aptos" w:cs="Calibri"/>
                <w:color w:val="000000"/>
                <w:sz w:val="20"/>
                <w:szCs w:val="20"/>
                <w:lang w:eastAsia="it-IT"/>
              </w:rPr>
            </w:pPr>
            <w:r w:rsidRPr="0091206F">
              <w:rPr>
                <w:rFonts w:ascii="Aptos" w:eastAsia="Times New Roman" w:hAnsi="Aptos" w:cs="Calibri"/>
                <w:color w:val="000000"/>
                <w:sz w:val="20"/>
                <w:szCs w:val="20"/>
                <w:lang w:eastAsia="it-IT"/>
              </w:rPr>
              <w:t xml:space="preserve">88.700.441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6E27D094" w14:textId="77777777" w:rsidR="00F70766" w:rsidRPr="0091206F" w:rsidRDefault="00F70766" w:rsidP="001627A4">
            <w:pPr>
              <w:spacing w:after="0" w:line="240" w:lineRule="auto"/>
              <w:jc w:val="center"/>
              <w:rPr>
                <w:rFonts w:ascii="Aptos" w:eastAsia="Times New Roman" w:hAnsi="Aptos" w:cs="Calibri"/>
                <w:color w:val="000000"/>
                <w:sz w:val="20"/>
                <w:szCs w:val="20"/>
                <w:lang w:eastAsia="it-IT"/>
              </w:rPr>
            </w:pPr>
            <w:r w:rsidRPr="0091206F">
              <w:rPr>
                <w:rFonts w:ascii="Aptos" w:eastAsia="Times New Roman" w:hAnsi="Aptos" w:cs="Calibri"/>
                <w:color w:val="000000"/>
                <w:sz w:val="20"/>
                <w:szCs w:val="20"/>
                <w:lang w:eastAsia="it-IT"/>
              </w:rPr>
              <w:t xml:space="preserve">89.161.937 </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14:paraId="0879B80D" w14:textId="77777777" w:rsidR="00F70766" w:rsidRPr="0091206F" w:rsidRDefault="00F70766" w:rsidP="001627A4">
            <w:pPr>
              <w:spacing w:after="0" w:line="240" w:lineRule="auto"/>
              <w:jc w:val="center"/>
              <w:rPr>
                <w:rFonts w:ascii="Aptos" w:eastAsia="Times New Roman" w:hAnsi="Aptos" w:cs="Calibri"/>
                <w:color w:val="000000"/>
                <w:sz w:val="20"/>
                <w:szCs w:val="20"/>
                <w:lang w:eastAsia="it-IT"/>
              </w:rPr>
            </w:pPr>
            <w:r w:rsidRPr="0091206F">
              <w:rPr>
                <w:rFonts w:ascii="Aptos" w:eastAsia="Times New Roman" w:hAnsi="Aptos" w:cs="Calibri"/>
                <w:color w:val="000000"/>
                <w:sz w:val="20"/>
                <w:szCs w:val="20"/>
                <w:lang w:eastAsia="it-IT"/>
              </w:rPr>
              <w:t xml:space="preserve">4.513.766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40968EFC" w14:textId="77777777" w:rsidR="00F70766" w:rsidRPr="0091206F" w:rsidRDefault="00F70766" w:rsidP="001627A4">
            <w:pPr>
              <w:spacing w:after="0" w:line="240" w:lineRule="auto"/>
              <w:jc w:val="center"/>
              <w:rPr>
                <w:rFonts w:ascii="Aptos" w:eastAsia="Times New Roman" w:hAnsi="Aptos" w:cs="Calibri"/>
                <w:color w:val="000000"/>
                <w:sz w:val="20"/>
                <w:szCs w:val="20"/>
                <w:lang w:eastAsia="it-IT"/>
              </w:rPr>
            </w:pPr>
            <w:r w:rsidRPr="0091206F">
              <w:rPr>
                <w:rFonts w:ascii="Aptos" w:eastAsia="Times New Roman" w:hAnsi="Aptos" w:cs="Calibri"/>
                <w:color w:val="000000"/>
                <w:sz w:val="20"/>
                <w:szCs w:val="20"/>
                <w:lang w:eastAsia="it-IT"/>
              </w:rPr>
              <w:t xml:space="preserve">TETTO DI SPESA DD104-2024 </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6AF81F3A" w14:textId="77777777" w:rsidR="00F70766" w:rsidRPr="0091206F" w:rsidRDefault="00F70766" w:rsidP="001627A4">
            <w:pPr>
              <w:spacing w:after="0" w:line="240" w:lineRule="auto"/>
              <w:jc w:val="center"/>
              <w:rPr>
                <w:rFonts w:ascii="Aptos" w:eastAsia="Times New Roman" w:hAnsi="Aptos" w:cs="Calibri"/>
                <w:color w:val="000000"/>
                <w:sz w:val="20"/>
                <w:szCs w:val="20"/>
                <w:lang w:eastAsia="it-IT"/>
              </w:rPr>
            </w:pPr>
            <w:r w:rsidRPr="0091206F">
              <w:rPr>
                <w:rFonts w:ascii="Aptos" w:eastAsia="Times New Roman" w:hAnsi="Aptos" w:cs="Calibri"/>
                <w:color w:val="000000"/>
                <w:sz w:val="20"/>
                <w:szCs w:val="20"/>
                <w:lang w:eastAsia="it-IT"/>
              </w:rPr>
              <w:t xml:space="preserve">-4.000.000 </w:t>
            </w:r>
          </w:p>
        </w:tc>
      </w:tr>
    </w:tbl>
    <w:p w14:paraId="7684B816" w14:textId="77777777" w:rsidR="00F70766" w:rsidRPr="00EC5A23" w:rsidRDefault="00F70766" w:rsidP="00F70766">
      <w:pPr>
        <w:spacing w:after="120" w:line="240" w:lineRule="auto"/>
        <w:ind w:left="709"/>
        <w:jc w:val="both"/>
        <w:rPr>
          <w:rFonts w:ascii="Aptos" w:hAnsi="Aptos"/>
        </w:rPr>
      </w:pPr>
    </w:p>
    <w:p w14:paraId="5C972DDC" w14:textId="77777777" w:rsidR="00F70766" w:rsidRPr="00EC5A23" w:rsidRDefault="00F70766" w:rsidP="00F70766">
      <w:pPr>
        <w:spacing w:after="120" w:line="240" w:lineRule="auto"/>
        <w:ind w:left="709"/>
        <w:jc w:val="both"/>
        <w:rPr>
          <w:rFonts w:ascii="Aptos" w:hAnsi="Aptos"/>
        </w:rPr>
      </w:pPr>
      <w:r w:rsidRPr="00EC5A23">
        <w:rPr>
          <w:rFonts w:ascii="Aptos" w:hAnsi="Aptos"/>
        </w:rPr>
        <w:t>Attualmente sono in corso verifiche da parte degli uffici competenti per analizzare in dettaglio le determinanti di tali incrementi e le ulteriori azioni da implementare in termini di miglioramento nella erogazione dei farmaci coinvolgendo i medici prescrittori, e l’efficientamento delle procedure di approvvigionamento dando impulso alle gare SUARB</w:t>
      </w:r>
    </w:p>
    <w:p w14:paraId="2EC73327" w14:textId="485CB20A" w:rsidR="00F70766" w:rsidRPr="00EC5A23" w:rsidRDefault="00F70766" w:rsidP="00F70766">
      <w:pPr>
        <w:pStyle w:val="Paragrafoelenco"/>
        <w:numPr>
          <w:ilvl w:val="0"/>
          <w:numId w:val="32"/>
        </w:numPr>
        <w:spacing w:after="120" w:line="240" w:lineRule="auto"/>
        <w:contextualSpacing w:val="0"/>
        <w:jc w:val="both"/>
        <w:rPr>
          <w:rFonts w:ascii="Aptos" w:hAnsi="Aptos"/>
          <w:b/>
        </w:rPr>
      </w:pPr>
      <w:r w:rsidRPr="00EC5A23">
        <w:rPr>
          <w:rFonts w:ascii="Aptos" w:hAnsi="Aptos"/>
          <w:b/>
        </w:rPr>
        <w:t xml:space="preserve">Incremento Spesa Farmaceutica Distribuzione </w:t>
      </w:r>
      <w:r w:rsidR="001627A4">
        <w:rPr>
          <w:rFonts w:ascii="Aptos" w:hAnsi="Aptos"/>
          <w:b/>
        </w:rPr>
        <w:t>D</w:t>
      </w:r>
      <w:r w:rsidRPr="00EC5A23">
        <w:rPr>
          <w:rFonts w:ascii="Aptos" w:hAnsi="Aptos"/>
          <w:b/>
        </w:rPr>
        <w:t>iretta ospedaliera +</w:t>
      </w:r>
      <w:r w:rsidR="000C775A">
        <w:rPr>
          <w:rFonts w:ascii="Aptos" w:hAnsi="Aptos"/>
          <w:b/>
        </w:rPr>
        <w:t>6,8</w:t>
      </w:r>
      <w:r w:rsidRPr="00EC5A23">
        <w:rPr>
          <w:rFonts w:ascii="Aptos" w:hAnsi="Aptos"/>
          <w:b/>
        </w:rPr>
        <w:t xml:space="preserve"> mln</w:t>
      </w:r>
    </w:p>
    <w:p w14:paraId="2B023E07" w14:textId="77777777" w:rsidR="00F70766" w:rsidRPr="00EC5A23" w:rsidRDefault="00F70766" w:rsidP="00F70766">
      <w:pPr>
        <w:spacing w:after="120" w:line="240" w:lineRule="auto"/>
        <w:ind w:left="709"/>
        <w:jc w:val="both"/>
        <w:rPr>
          <w:rFonts w:ascii="Aptos" w:hAnsi="Aptos"/>
        </w:rPr>
      </w:pPr>
      <w:r w:rsidRPr="00EC5A23">
        <w:rPr>
          <w:rFonts w:ascii="Aptos" w:hAnsi="Aptos"/>
        </w:rPr>
        <w:t xml:space="preserve">Con la medesima determinazione, al fine di ricondurre la spesa farmaceutica per distribuzione diretta ospedaliera dentro i limiti fissati dal tetto di spesa nazionale (7,95% del fondo indistinto), venivano individuate una serie di misure da mettere in campo da parte delle direzioni strategiche aziendali, stimando un obiettivo di riduzione della stessa non inferiore ai 3 mln di euro. </w:t>
      </w:r>
    </w:p>
    <w:p w14:paraId="613EE16D" w14:textId="7743F016" w:rsidR="00595C72" w:rsidRDefault="00F70766" w:rsidP="00F70766">
      <w:pPr>
        <w:spacing w:after="120" w:line="240" w:lineRule="auto"/>
        <w:ind w:left="709"/>
        <w:jc w:val="both"/>
        <w:rPr>
          <w:rFonts w:ascii="Aptos" w:hAnsi="Aptos"/>
        </w:rPr>
      </w:pPr>
      <w:r w:rsidRPr="00EC5A23">
        <w:rPr>
          <w:rFonts w:ascii="Aptos" w:hAnsi="Aptos"/>
        </w:rPr>
        <w:t xml:space="preserve">Anche in questo caso, le risultanze del CE IV TRIM 2024 evidenziano un significativo incremento dei costi relativi ai farmaci per oltre </w:t>
      </w:r>
      <w:r w:rsidR="00B66DA6">
        <w:rPr>
          <w:rFonts w:ascii="Aptos" w:hAnsi="Aptos"/>
        </w:rPr>
        <w:t>6</w:t>
      </w:r>
      <w:r w:rsidRPr="00EC5A23">
        <w:rPr>
          <w:rFonts w:ascii="Aptos" w:hAnsi="Aptos"/>
        </w:rPr>
        <w:t>,</w:t>
      </w:r>
      <w:r w:rsidR="00B66DA6">
        <w:rPr>
          <w:rFonts w:ascii="Aptos" w:hAnsi="Aptos"/>
        </w:rPr>
        <w:t>8</w:t>
      </w:r>
      <w:r w:rsidRPr="00EC5A23">
        <w:rPr>
          <w:rFonts w:ascii="Aptos" w:hAnsi="Aptos"/>
        </w:rPr>
        <w:t xml:space="preserve"> mln di euro. </w:t>
      </w:r>
    </w:p>
    <w:p w14:paraId="10126ABD" w14:textId="4E90F60B" w:rsidR="00F70766" w:rsidRDefault="00F70766" w:rsidP="00F70766">
      <w:pPr>
        <w:spacing w:after="120" w:line="240" w:lineRule="auto"/>
        <w:ind w:left="709"/>
        <w:jc w:val="both"/>
        <w:rPr>
          <w:rFonts w:ascii="Aptos" w:hAnsi="Aptos"/>
        </w:rPr>
      </w:pPr>
      <w:r w:rsidRPr="00EC5A23">
        <w:rPr>
          <w:rFonts w:ascii="Aptos" w:hAnsi="Aptos"/>
        </w:rPr>
        <w:t xml:space="preserve"> </w:t>
      </w:r>
    </w:p>
    <w:p w14:paraId="2A3BD392" w14:textId="77777777" w:rsidR="00B66DA6" w:rsidRDefault="00B66DA6" w:rsidP="00F70766">
      <w:pPr>
        <w:spacing w:after="120" w:line="240" w:lineRule="auto"/>
        <w:ind w:left="709"/>
        <w:jc w:val="both"/>
        <w:rPr>
          <w:rFonts w:ascii="Aptos" w:hAnsi="Aptos"/>
        </w:rPr>
      </w:pPr>
    </w:p>
    <w:tbl>
      <w:tblPr>
        <w:tblW w:w="9923" w:type="dxa"/>
        <w:jc w:val="center"/>
        <w:tblCellMar>
          <w:left w:w="70" w:type="dxa"/>
          <w:right w:w="70" w:type="dxa"/>
        </w:tblCellMar>
        <w:tblLook w:val="04A0" w:firstRow="1" w:lastRow="0" w:firstColumn="1" w:lastColumn="0" w:noHBand="0" w:noVBand="1"/>
      </w:tblPr>
      <w:tblGrid>
        <w:gridCol w:w="844"/>
        <w:gridCol w:w="1770"/>
        <w:gridCol w:w="1392"/>
        <w:gridCol w:w="1255"/>
        <w:gridCol w:w="1255"/>
        <w:gridCol w:w="1032"/>
        <w:gridCol w:w="1236"/>
        <w:gridCol w:w="1139"/>
      </w:tblGrid>
      <w:tr w:rsidR="00F70766" w:rsidRPr="00595C72" w14:paraId="2649DE12" w14:textId="77777777" w:rsidTr="00595C72">
        <w:trPr>
          <w:trHeight w:val="450"/>
          <w:jc w:val="center"/>
        </w:trPr>
        <w:tc>
          <w:tcPr>
            <w:tcW w:w="852" w:type="dxa"/>
            <w:tcBorders>
              <w:top w:val="single" w:sz="4" w:space="0" w:color="auto"/>
              <w:left w:val="single" w:sz="4" w:space="0" w:color="auto"/>
              <w:bottom w:val="single" w:sz="4" w:space="0" w:color="auto"/>
              <w:right w:val="single" w:sz="4" w:space="0" w:color="auto"/>
            </w:tcBorders>
            <w:vAlign w:val="center"/>
          </w:tcPr>
          <w:p w14:paraId="2D95801F" w14:textId="77777777" w:rsidR="00F70766" w:rsidRPr="00595C72" w:rsidRDefault="00F70766" w:rsidP="001627A4">
            <w:pPr>
              <w:spacing w:after="0" w:line="240" w:lineRule="auto"/>
              <w:rPr>
                <w:rFonts w:ascii="Aptos" w:eastAsia="Times New Roman" w:hAnsi="Aptos" w:cs="Calibri"/>
                <w:b/>
                <w:color w:val="000000"/>
                <w:sz w:val="18"/>
                <w:szCs w:val="18"/>
                <w:lang w:eastAsia="it-IT"/>
              </w:rPr>
            </w:pPr>
            <w:proofErr w:type="spellStart"/>
            <w:r w:rsidRPr="00595C72">
              <w:rPr>
                <w:rFonts w:ascii="Aptos" w:eastAsia="Times New Roman" w:hAnsi="Aptos" w:cs="Calibri"/>
                <w:b/>
                <w:color w:val="000000"/>
                <w:sz w:val="18"/>
                <w:szCs w:val="18"/>
                <w:lang w:eastAsia="it-IT"/>
              </w:rPr>
              <w:t>Cod</w:t>
            </w:r>
            <w:proofErr w:type="spellEnd"/>
            <w:r w:rsidRPr="00595C72">
              <w:rPr>
                <w:rFonts w:ascii="Aptos" w:eastAsia="Times New Roman" w:hAnsi="Aptos" w:cs="Calibri"/>
                <w:b/>
                <w:color w:val="000000"/>
                <w:sz w:val="18"/>
                <w:szCs w:val="18"/>
                <w:lang w:eastAsia="it-IT"/>
              </w:rPr>
              <w:t xml:space="preserve"> CE</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E639" w14:textId="77777777" w:rsidR="00F70766" w:rsidRPr="00595C72" w:rsidRDefault="00F70766" w:rsidP="001627A4">
            <w:pPr>
              <w:spacing w:after="0" w:line="240" w:lineRule="auto"/>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Descrizione</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F6D050E"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IV CE 2024</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0467B697"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Consuntivo 2023</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19D483CB"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Consuntivo 2022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08D0BA6C"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proofErr w:type="spellStart"/>
            <w:r w:rsidRPr="00595C72">
              <w:rPr>
                <w:rFonts w:ascii="Aptos" w:eastAsia="Times New Roman" w:hAnsi="Aptos" w:cs="Calibri"/>
                <w:b/>
                <w:color w:val="000000"/>
                <w:sz w:val="18"/>
                <w:szCs w:val="18"/>
                <w:lang w:eastAsia="it-IT"/>
              </w:rPr>
              <w:t>scost</w:t>
            </w:r>
            <w:proofErr w:type="spellEnd"/>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4A8C7323"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proofErr w:type="spellStart"/>
            <w:r w:rsidRPr="00595C72">
              <w:rPr>
                <w:rFonts w:ascii="Aptos" w:eastAsia="Times New Roman" w:hAnsi="Aptos" w:cs="Calibri"/>
                <w:b/>
                <w:color w:val="000000"/>
                <w:sz w:val="18"/>
                <w:szCs w:val="18"/>
                <w:lang w:eastAsia="it-IT"/>
              </w:rPr>
              <w:t>Provv</w:t>
            </w:r>
            <w:proofErr w:type="spellEnd"/>
            <w:r w:rsidRPr="00595C72">
              <w:rPr>
                <w:rFonts w:ascii="Aptos" w:eastAsia="Times New Roman" w:hAnsi="Aptos" w:cs="Calibri"/>
                <w:b/>
                <w:color w:val="000000"/>
                <w:sz w:val="18"/>
                <w:szCs w:val="18"/>
                <w:lang w:eastAsia="it-IT"/>
              </w:rPr>
              <w:t>.</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929DE82"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 xml:space="preserve"> riduzione attesa </w:t>
            </w:r>
          </w:p>
        </w:tc>
      </w:tr>
      <w:tr w:rsidR="00F70766" w:rsidRPr="00595C72" w14:paraId="3614AB36" w14:textId="77777777" w:rsidTr="00595C72">
        <w:trPr>
          <w:trHeight w:val="1500"/>
          <w:jc w:val="center"/>
        </w:trPr>
        <w:tc>
          <w:tcPr>
            <w:tcW w:w="852" w:type="dxa"/>
            <w:tcBorders>
              <w:top w:val="nil"/>
              <w:left w:val="single" w:sz="4" w:space="0" w:color="auto"/>
              <w:bottom w:val="single" w:sz="4" w:space="0" w:color="auto"/>
              <w:right w:val="single" w:sz="4" w:space="0" w:color="auto"/>
            </w:tcBorders>
            <w:vAlign w:val="center"/>
          </w:tcPr>
          <w:p w14:paraId="7AD91EE5" w14:textId="77777777" w:rsidR="00F70766" w:rsidRPr="00595C72" w:rsidRDefault="00F70766" w:rsidP="001627A4">
            <w:pPr>
              <w:spacing w:after="0" w:line="240" w:lineRule="auto"/>
              <w:rPr>
                <w:rFonts w:ascii="Aptos" w:eastAsia="Times New Roman" w:hAnsi="Aptos" w:cs="Calibri"/>
                <w:sz w:val="18"/>
                <w:szCs w:val="18"/>
                <w:lang w:eastAsia="it-IT"/>
              </w:rPr>
            </w:pPr>
            <w:r w:rsidRPr="00595C72">
              <w:rPr>
                <w:rFonts w:ascii="Aptos" w:eastAsia="Times New Roman" w:hAnsi="Aptos" w:cs="Calibri"/>
                <w:color w:val="000000"/>
                <w:sz w:val="18"/>
                <w:szCs w:val="18"/>
                <w:lang w:eastAsia="it-IT"/>
              </w:rPr>
              <w:t>BA0040</w:t>
            </w:r>
          </w:p>
        </w:tc>
        <w:tc>
          <w:tcPr>
            <w:tcW w:w="1844" w:type="dxa"/>
            <w:tcBorders>
              <w:top w:val="nil"/>
              <w:left w:val="single" w:sz="4" w:space="0" w:color="auto"/>
              <w:bottom w:val="single" w:sz="4" w:space="0" w:color="auto"/>
              <w:right w:val="single" w:sz="4" w:space="0" w:color="auto"/>
            </w:tcBorders>
            <w:shd w:val="clear" w:color="auto" w:fill="auto"/>
            <w:vAlign w:val="center"/>
            <w:hideMark/>
          </w:tcPr>
          <w:p w14:paraId="76832688" w14:textId="77777777" w:rsidR="00F70766" w:rsidRPr="00595C72" w:rsidRDefault="00F70766" w:rsidP="001627A4">
            <w:pPr>
              <w:spacing w:after="0" w:line="240" w:lineRule="auto"/>
              <w:rPr>
                <w:rFonts w:ascii="Aptos" w:eastAsia="Times New Roman" w:hAnsi="Aptos" w:cs="Calibri"/>
                <w:sz w:val="18"/>
                <w:szCs w:val="18"/>
                <w:lang w:eastAsia="it-IT"/>
              </w:rPr>
            </w:pPr>
            <w:r w:rsidRPr="00595C72">
              <w:rPr>
                <w:rFonts w:ascii="Aptos" w:eastAsia="Times New Roman" w:hAnsi="Aptos" w:cs="Calibri"/>
                <w:sz w:val="18"/>
                <w:szCs w:val="18"/>
                <w:lang w:eastAsia="it-IT"/>
              </w:rPr>
              <w:t>B.1.A.1.1) Medicinali con AIC, ad eccezione di vaccini, emoderivati di produzione regionale, ossigeno e altri gas medicali</w:t>
            </w:r>
          </w:p>
        </w:tc>
        <w:tc>
          <w:tcPr>
            <w:tcW w:w="1253" w:type="dxa"/>
            <w:tcBorders>
              <w:top w:val="nil"/>
              <w:left w:val="nil"/>
              <w:bottom w:val="single" w:sz="4" w:space="0" w:color="auto"/>
              <w:right w:val="single" w:sz="4" w:space="0" w:color="auto"/>
            </w:tcBorders>
            <w:shd w:val="clear" w:color="auto" w:fill="auto"/>
            <w:noWrap/>
            <w:vAlign w:val="center"/>
            <w:hideMark/>
          </w:tcPr>
          <w:p w14:paraId="206A2C9D" w14:textId="26691952" w:rsidR="00F70766" w:rsidRPr="00595C72" w:rsidRDefault="008B7EB8" w:rsidP="001627A4">
            <w:pPr>
              <w:spacing w:after="0" w:line="240" w:lineRule="auto"/>
              <w:jc w:val="center"/>
              <w:rPr>
                <w:rFonts w:ascii="Aptos" w:eastAsia="Times New Roman" w:hAnsi="Aptos" w:cs="Calibri"/>
                <w:b/>
                <w:color w:val="000000"/>
                <w:sz w:val="18"/>
                <w:szCs w:val="18"/>
                <w:lang w:eastAsia="it-IT"/>
              </w:rPr>
            </w:pPr>
            <w:r w:rsidRPr="008B7EB8">
              <w:rPr>
                <w:rFonts w:ascii="Aptos" w:eastAsia="Times New Roman" w:hAnsi="Aptos" w:cs="Calibri"/>
                <w:b/>
                <w:color w:val="000000"/>
                <w:sz w:val="18"/>
                <w:szCs w:val="18"/>
                <w:lang w:eastAsia="it-IT"/>
              </w:rPr>
              <w:t>157</w:t>
            </w:r>
            <w:r w:rsidR="00B66DA6">
              <w:rPr>
                <w:rFonts w:ascii="Aptos" w:eastAsia="Times New Roman" w:hAnsi="Aptos" w:cs="Calibri"/>
                <w:b/>
                <w:color w:val="000000"/>
                <w:sz w:val="18"/>
                <w:szCs w:val="18"/>
                <w:lang w:eastAsia="it-IT"/>
              </w:rPr>
              <w:t>.</w:t>
            </w:r>
            <w:r w:rsidRPr="008B7EB8">
              <w:rPr>
                <w:rFonts w:ascii="Aptos" w:eastAsia="Times New Roman" w:hAnsi="Aptos" w:cs="Calibri"/>
                <w:b/>
                <w:color w:val="000000"/>
                <w:sz w:val="18"/>
                <w:szCs w:val="18"/>
                <w:lang w:eastAsia="it-IT"/>
              </w:rPr>
              <w:t>428</w:t>
            </w:r>
            <w:r w:rsidR="00B66DA6">
              <w:rPr>
                <w:rFonts w:ascii="Aptos" w:eastAsia="Times New Roman" w:hAnsi="Aptos" w:cs="Calibri"/>
                <w:b/>
                <w:color w:val="000000"/>
                <w:sz w:val="18"/>
                <w:szCs w:val="18"/>
                <w:lang w:eastAsia="it-IT"/>
              </w:rPr>
              <w:t>.</w:t>
            </w:r>
            <w:r w:rsidRPr="008B7EB8">
              <w:rPr>
                <w:rFonts w:ascii="Aptos" w:eastAsia="Times New Roman" w:hAnsi="Aptos" w:cs="Calibri"/>
                <w:b/>
                <w:color w:val="000000"/>
                <w:sz w:val="18"/>
                <w:szCs w:val="18"/>
                <w:lang w:eastAsia="it-IT"/>
              </w:rPr>
              <w:t>724,61</w:t>
            </w:r>
          </w:p>
        </w:tc>
        <w:tc>
          <w:tcPr>
            <w:tcW w:w="1255" w:type="dxa"/>
            <w:tcBorders>
              <w:top w:val="nil"/>
              <w:left w:val="nil"/>
              <w:bottom w:val="single" w:sz="4" w:space="0" w:color="auto"/>
              <w:right w:val="single" w:sz="4" w:space="0" w:color="auto"/>
            </w:tcBorders>
            <w:shd w:val="clear" w:color="auto" w:fill="auto"/>
            <w:noWrap/>
            <w:vAlign w:val="center"/>
            <w:hideMark/>
          </w:tcPr>
          <w:p w14:paraId="243E4A98" w14:textId="77777777" w:rsidR="00F70766" w:rsidRPr="00595C72" w:rsidRDefault="00F70766" w:rsidP="001627A4">
            <w:pPr>
              <w:spacing w:after="0" w:line="240" w:lineRule="auto"/>
              <w:jc w:val="center"/>
              <w:rPr>
                <w:rFonts w:ascii="Aptos" w:eastAsia="Times New Roman" w:hAnsi="Aptos" w:cs="Calibri"/>
                <w:color w:val="000000"/>
                <w:sz w:val="18"/>
                <w:szCs w:val="18"/>
                <w:lang w:eastAsia="it-IT"/>
              </w:rPr>
            </w:pPr>
            <w:r w:rsidRPr="00595C72">
              <w:rPr>
                <w:rFonts w:ascii="Aptos" w:eastAsia="Times New Roman" w:hAnsi="Aptos" w:cs="Calibri"/>
                <w:color w:val="000000"/>
                <w:sz w:val="18"/>
                <w:szCs w:val="18"/>
                <w:lang w:eastAsia="it-IT"/>
              </w:rPr>
              <w:t xml:space="preserve">150.549.985 </w:t>
            </w:r>
          </w:p>
        </w:tc>
        <w:tc>
          <w:tcPr>
            <w:tcW w:w="1255" w:type="dxa"/>
            <w:tcBorders>
              <w:top w:val="nil"/>
              <w:left w:val="nil"/>
              <w:bottom w:val="single" w:sz="4" w:space="0" w:color="auto"/>
              <w:right w:val="single" w:sz="4" w:space="0" w:color="auto"/>
            </w:tcBorders>
            <w:shd w:val="clear" w:color="auto" w:fill="auto"/>
            <w:noWrap/>
            <w:vAlign w:val="center"/>
            <w:hideMark/>
          </w:tcPr>
          <w:p w14:paraId="04C06E9B" w14:textId="77777777" w:rsidR="00F70766" w:rsidRPr="00595C72" w:rsidRDefault="00F70766" w:rsidP="001627A4">
            <w:pPr>
              <w:spacing w:after="0" w:line="240" w:lineRule="auto"/>
              <w:jc w:val="center"/>
              <w:rPr>
                <w:rFonts w:ascii="Aptos" w:eastAsia="Times New Roman" w:hAnsi="Aptos" w:cs="Calibri"/>
                <w:color w:val="000000"/>
                <w:sz w:val="18"/>
                <w:szCs w:val="18"/>
                <w:lang w:eastAsia="it-IT"/>
              </w:rPr>
            </w:pPr>
            <w:r w:rsidRPr="00595C72">
              <w:rPr>
                <w:rFonts w:ascii="Aptos" w:eastAsia="Times New Roman" w:hAnsi="Aptos" w:cs="Calibri"/>
                <w:color w:val="000000"/>
                <w:sz w:val="18"/>
                <w:szCs w:val="18"/>
                <w:lang w:eastAsia="it-IT"/>
              </w:rPr>
              <w:t xml:space="preserve">139.801.214 </w:t>
            </w:r>
          </w:p>
        </w:tc>
        <w:tc>
          <w:tcPr>
            <w:tcW w:w="1032" w:type="dxa"/>
            <w:tcBorders>
              <w:top w:val="nil"/>
              <w:left w:val="nil"/>
              <w:bottom w:val="single" w:sz="4" w:space="0" w:color="auto"/>
              <w:right w:val="single" w:sz="4" w:space="0" w:color="auto"/>
            </w:tcBorders>
            <w:shd w:val="clear" w:color="auto" w:fill="auto"/>
            <w:noWrap/>
            <w:vAlign w:val="center"/>
            <w:hideMark/>
          </w:tcPr>
          <w:p w14:paraId="655FEB6D" w14:textId="4050DDF9" w:rsidR="00F70766" w:rsidRPr="00B66DA6" w:rsidRDefault="00B66DA6" w:rsidP="00B66DA6">
            <w:pPr>
              <w:spacing w:after="0" w:line="240" w:lineRule="auto"/>
              <w:jc w:val="center"/>
              <w:rPr>
                <w:rFonts w:ascii="Aptos" w:eastAsia="Times New Roman" w:hAnsi="Aptos" w:cs="Calibri"/>
                <w:color w:val="000000"/>
                <w:sz w:val="18"/>
                <w:szCs w:val="18"/>
                <w:lang w:eastAsia="it-IT"/>
              </w:rPr>
            </w:pPr>
            <w:r w:rsidRPr="00B66DA6">
              <w:rPr>
                <w:rFonts w:ascii="Aptos" w:eastAsia="Times New Roman" w:hAnsi="Aptos" w:cs="Calibri"/>
                <w:color w:val="000000"/>
                <w:sz w:val="18"/>
                <w:szCs w:val="18"/>
                <w:lang w:eastAsia="it-IT"/>
              </w:rPr>
              <w:t>6.878.739</w:t>
            </w:r>
          </w:p>
        </w:tc>
        <w:tc>
          <w:tcPr>
            <w:tcW w:w="1293" w:type="dxa"/>
            <w:tcBorders>
              <w:top w:val="nil"/>
              <w:left w:val="nil"/>
              <w:bottom w:val="single" w:sz="4" w:space="0" w:color="auto"/>
              <w:right w:val="single" w:sz="4" w:space="0" w:color="auto"/>
            </w:tcBorders>
            <w:shd w:val="clear" w:color="auto" w:fill="auto"/>
            <w:vAlign w:val="center"/>
            <w:hideMark/>
          </w:tcPr>
          <w:p w14:paraId="2BD79A80" w14:textId="77777777" w:rsidR="00F70766" w:rsidRPr="00595C72" w:rsidRDefault="00F70766" w:rsidP="001627A4">
            <w:pPr>
              <w:spacing w:after="0" w:line="240" w:lineRule="auto"/>
              <w:jc w:val="center"/>
              <w:rPr>
                <w:rFonts w:ascii="Aptos" w:eastAsia="Times New Roman" w:hAnsi="Aptos" w:cs="Calibri"/>
                <w:color w:val="000000"/>
                <w:sz w:val="18"/>
                <w:szCs w:val="18"/>
                <w:lang w:eastAsia="it-IT"/>
              </w:rPr>
            </w:pPr>
            <w:r w:rsidRPr="00595C72">
              <w:rPr>
                <w:rFonts w:ascii="Aptos" w:eastAsia="Times New Roman" w:hAnsi="Aptos" w:cs="Calibri"/>
                <w:color w:val="000000"/>
                <w:sz w:val="18"/>
                <w:szCs w:val="18"/>
                <w:lang w:eastAsia="it-IT"/>
              </w:rPr>
              <w:t xml:space="preserve">TETTO DI SPESA DD104-2024 </w:t>
            </w:r>
          </w:p>
        </w:tc>
        <w:tc>
          <w:tcPr>
            <w:tcW w:w="1139" w:type="dxa"/>
            <w:tcBorders>
              <w:top w:val="nil"/>
              <w:left w:val="nil"/>
              <w:bottom w:val="single" w:sz="4" w:space="0" w:color="auto"/>
              <w:right w:val="single" w:sz="4" w:space="0" w:color="auto"/>
            </w:tcBorders>
            <w:shd w:val="clear" w:color="auto" w:fill="auto"/>
            <w:noWrap/>
            <w:vAlign w:val="center"/>
            <w:hideMark/>
          </w:tcPr>
          <w:p w14:paraId="094EFB8B" w14:textId="77777777" w:rsidR="00F70766" w:rsidRPr="00595C72" w:rsidRDefault="00F70766" w:rsidP="001627A4">
            <w:pPr>
              <w:spacing w:after="0" w:line="240" w:lineRule="auto"/>
              <w:jc w:val="center"/>
              <w:rPr>
                <w:rFonts w:ascii="Aptos" w:eastAsia="Times New Roman" w:hAnsi="Aptos" w:cs="Calibri"/>
                <w:color w:val="000000"/>
                <w:sz w:val="18"/>
                <w:szCs w:val="18"/>
                <w:lang w:eastAsia="it-IT"/>
              </w:rPr>
            </w:pPr>
            <w:r w:rsidRPr="00595C72">
              <w:rPr>
                <w:rFonts w:ascii="Aptos" w:eastAsia="Times New Roman" w:hAnsi="Aptos" w:cs="Calibri"/>
                <w:color w:val="000000"/>
                <w:sz w:val="18"/>
                <w:szCs w:val="18"/>
                <w:lang w:eastAsia="it-IT"/>
              </w:rPr>
              <w:t xml:space="preserve">-3.000.000 </w:t>
            </w:r>
          </w:p>
        </w:tc>
      </w:tr>
    </w:tbl>
    <w:p w14:paraId="51F8F46F" w14:textId="0EBCF7A3" w:rsidR="00F70766" w:rsidRDefault="00F70766" w:rsidP="00F70766">
      <w:pPr>
        <w:spacing w:after="120"/>
        <w:jc w:val="both"/>
        <w:rPr>
          <w:rFonts w:ascii="Aptos" w:hAnsi="Aptos"/>
        </w:rPr>
      </w:pPr>
    </w:p>
    <w:p w14:paraId="56C61A8B" w14:textId="77777777" w:rsidR="00F70766" w:rsidRPr="00EC5A23" w:rsidRDefault="00F70766" w:rsidP="00F70766">
      <w:pPr>
        <w:pStyle w:val="Paragrafoelenco"/>
        <w:numPr>
          <w:ilvl w:val="0"/>
          <w:numId w:val="32"/>
        </w:numPr>
        <w:spacing w:after="120"/>
        <w:contextualSpacing w:val="0"/>
        <w:jc w:val="both"/>
        <w:rPr>
          <w:rFonts w:ascii="Aptos" w:hAnsi="Aptos"/>
          <w:b/>
        </w:rPr>
      </w:pPr>
      <w:r w:rsidRPr="00EC5A23">
        <w:rPr>
          <w:rFonts w:ascii="Aptos" w:hAnsi="Aptos"/>
          <w:b/>
        </w:rPr>
        <w:t>Incremento Spesa per Dispositivi medici +0,840 mln</w:t>
      </w:r>
    </w:p>
    <w:p w14:paraId="08F526A2" w14:textId="038C84EF" w:rsidR="00F70766" w:rsidRPr="00EC5A23" w:rsidRDefault="00F70766" w:rsidP="00F70766">
      <w:pPr>
        <w:spacing w:after="120" w:line="240" w:lineRule="auto"/>
        <w:ind w:left="709"/>
        <w:jc w:val="both"/>
        <w:rPr>
          <w:rFonts w:ascii="Aptos" w:hAnsi="Aptos"/>
        </w:rPr>
      </w:pPr>
      <w:r w:rsidRPr="00EC5A23">
        <w:rPr>
          <w:rFonts w:ascii="Aptos" w:hAnsi="Aptos"/>
        </w:rPr>
        <w:t>Con Determina dell’Ufficio Pianificazione Sanitari</w:t>
      </w:r>
      <w:r w:rsidR="00F52D24">
        <w:rPr>
          <w:rFonts w:ascii="Aptos" w:hAnsi="Aptos"/>
        </w:rPr>
        <w:t>a</w:t>
      </w:r>
      <w:r w:rsidRPr="00EC5A23">
        <w:rPr>
          <w:rFonts w:ascii="Aptos" w:hAnsi="Aptos"/>
        </w:rPr>
        <w:t xml:space="preserve"> n. 110 del 5.04.2024, veniva individuato un mix di azioni che, tenuto conto dello sforamento accertato nel tetto di spesa (ben oltre 4,4% del fondo indistinto), puntava a recuperare nell’arco di un biennio lo sforamento di spesa che al 31.12.2023, era pari a 12,6 mln di euro, distribuendo l’obiettivo di recupero di 6,3 mln di euro per il 2024 e per il 2025.</w:t>
      </w:r>
    </w:p>
    <w:p w14:paraId="3FD7CA0D" w14:textId="77777777" w:rsidR="00F70766" w:rsidRPr="00EC5A23" w:rsidRDefault="00F70766" w:rsidP="00F70766">
      <w:pPr>
        <w:spacing w:after="120" w:line="240" w:lineRule="auto"/>
        <w:ind w:left="709"/>
        <w:jc w:val="both"/>
        <w:rPr>
          <w:rFonts w:ascii="Aptos" w:hAnsi="Aptos"/>
        </w:rPr>
      </w:pPr>
      <w:r w:rsidRPr="00EC5A23">
        <w:rPr>
          <w:rFonts w:ascii="Aptos" w:hAnsi="Aptos"/>
        </w:rPr>
        <w:t>Dai dati rilevabili dal CE IV Trim risulta un ulteriore incremento di spesa per 0,840 mln in luogo di una riduzione attesa di circa 6 mln di euro.</w:t>
      </w:r>
    </w:p>
    <w:tbl>
      <w:tblPr>
        <w:tblpPr w:leftFromText="141" w:rightFromText="141" w:vertAnchor="text" w:horzAnchor="page" w:tblpX="1803" w:tblpY="-53"/>
        <w:tblW w:w="9132" w:type="dxa"/>
        <w:tblCellMar>
          <w:left w:w="70" w:type="dxa"/>
          <w:right w:w="70" w:type="dxa"/>
        </w:tblCellMar>
        <w:tblLook w:val="04A0" w:firstRow="1" w:lastRow="0" w:firstColumn="1" w:lastColumn="0" w:noHBand="0" w:noVBand="1"/>
      </w:tblPr>
      <w:tblGrid>
        <w:gridCol w:w="781"/>
        <w:gridCol w:w="1831"/>
        <w:gridCol w:w="1052"/>
        <w:gridCol w:w="1130"/>
        <w:gridCol w:w="1134"/>
        <w:gridCol w:w="791"/>
        <w:gridCol w:w="1314"/>
        <w:gridCol w:w="1099"/>
      </w:tblGrid>
      <w:tr w:rsidR="00F70766" w:rsidRPr="00595C72" w14:paraId="2392FCC5" w14:textId="77777777" w:rsidTr="001627A4">
        <w:trPr>
          <w:trHeight w:val="279"/>
        </w:trPr>
        <w:tc>
          <w:tcPr>
            <w:tcW w:w="707" w:type="dxa"/>
            <w:tcBorders>
              <w:top w:val="single" w:sz="4" w:space="0" w:color="auto"/>
              <w:left w:val="single" w:sz="4" w:space="0" w:color="auto"/>
              <w:bottom w:val="single" w:sz="4" w:space="0" w:color="auto"/>
              <w:right w:val="single" w:sz="4" w:space="0" w:color="auto"/>
            </w:tcBorders>
            <w:vAlign w:val="center"/>
          </w:tcPr>
          <w:p w14:paraId="546F2D36" w14:textId="77777777" w:rsidR="00F70766" w:rsidRPr="00595C72" w:rsidRDefault="00F70766" w:rsidP="001627A4">
            <w:pPr>
              <w:spacing w:after="0" w:line="240" w:lineRule="auto"/>
              <w:rPr>
                <w:rFonts w:ascii="Aptos" w:eastAsia="Times New Roman" w:hAnsi="Aptos" w:cs="Calibri"/>
                <w:b/>
                <w:color w:val="000000"/>
                <w:sz w:val="18"/>
                <w:szCs w:val="18"/>
                <w:lang w:eastAsia="it-IT"/>
              </w:rPr>
            </w:pPr>
            <w:proofErr w:type="spellStart"/>
            <w:r w:rsidRPr="00595C72">
              <w:rPr>
                <w:rFonts w:ascii="Aptos" w:eastAsia="Times New Roman" w:hAnsi="Aptos" w:cs="Calibri"/>
                <w:b/>
                <w:color w:val="000000"/>
                <w:sz w:val="18"/>
                <w:szCs w:val="18"/>
                <w:lang w:eastAsia="it-IT"/>
              </w:rPr>
              <w:t>Cod</w:t>
            </w:r>
            <w:proofErr w:type="spellEnd"/>
            <w:r w:rsidRPr="00595C72">
              <w:rPr>
                <w:rFonts w:ascii="Aptos" w:eastAsia="Times New Roman" w:hAnsi="Aptos" w:cs="Calibri"/>
                <w:b/>
                <w:color w:val="000000"/>
                <w:sz w:val="18"/>
                <w:szCs w:val="18"/>
                <w:lang w:eastAsia="it-IT"/>
              </w:rPr>
              <w:t xml:space="preserve"> CE</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65E50" w14:textId="77777777" w:rsidR="00F70766" w:rsidRPr="00595C72" w:rsidRDefault="00F70766" w:rsidP="001627A4">
            <w:pPr>
              <w:spacing w:after="0" w:line="240" w:lineRule="auto"/>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Descrizione</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02FCF9E9"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IV CE 2024</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3E0C00C3"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Consuntivo 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861D9E"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Consuntivo 2022</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4D2B3301"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proofErr w:type="spellStart"/>
            <w:r w:rsidRPr="00595C72">
              <w:rPr>
                <w:rFonts w:ascii="Aptos" w:eastAsia="Times New Roman" w:hAnsi="Aptos" w:cs="Calibri"/>
                <w:b/>
                <w:color w:val="000000"/>
                <w:sz w:val="18"/>
                <w:szCs w:val="18"/>
                <w:lang w:eastAsia="it-IT"/>
              </w:rPr>
              <w:t>scost</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0D5089E7"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proofErr w:type="spellStart"/>
            <w:r w:rsidRPr="00595C72">
              <w:rPr>
                <w:rFonts w:ascii="Aptos" w:eastAsia="Times New Roman" w:hAnsi="Aptos" w:cs="Calibri"/>
                <w:b/>
                <w:color w:val="000000"/>
                <w:sz w:val="18"/>
                <w:szCs w:val="18"/>
                <w:lang w:eastAsia="it-IT"/>
              </w:rPr>
              <w:t>Provv</w:t>
            </w:r>
            <w:proofErr w:type="spellEnd"/>
            <w:r w:rsidRPr="00595C72">
              <w:rPr>
                <w:rFonts w:ascii="Aptos" w:eastAsia="Times New Roman" w:hAnsi="Aptos" w:cs="Calibri"/>
                <w:b/>
                <w:color w:val="000000"/>
                <w:sz w:val="18"/>
                <w:szCs w:val="18"/>
                <w:lang w:eastAsia="it-IT"/>
              </w:rPr>
              <w:t>.</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5C722E8" w14:textId="77777777" w:rsidR="00F70766" w:rsidRPr="00595C72" w:rsidRDefault="00F70766" w:rsidP="001627A4">
            <w:pPr>
              <w:spacing w:after="0" w:line="240" w:lineRule="auto"/>
              <w:jc w:val="center"/>
              <w:rPr>
                <w:rFonts w:ascii="Aptos" w:eastAsia="Times New Roman" w:hAnsi="Aptos" w:cs="Calibri"/>
                <w:b/>
                <w:color w:val="000000"/>
                <w:sz w:val="18"/>
                <w:szCs w:val="18"/>
                <w:lang w:eastAsia="it-IT"/>
              </w:rPr>
            </w:pPr>
            <w:r w:rsidRPr="00595C72">
              <w:rPr>
                <w:rFonts w:ascii="Aptos" w:eastAsia="Times New Roman" w:hAnsi="Aptos" w:cs="Calibri"/>
                <w:b/>
                <w:color w:val="000000"/>
                <w:sz w:val="18"/>
                <w:szCs w:val="18"/>
                <w:lang w:eastAsia="it-IT"/>
              </w:rPr>
              <w:t xml:space="preserve"> riduzione attesa </w:t>
            </w:r>
          </w:p>
        </w:tc>
      </w:tr>
      <w:tr w:rsidR="00F70766" w:rsidRPr="00595C72" w14:paraId="270A2908" w14:textId="77777777" w:rsidTr="001627A4">
        <w:trPr>
          <w:trHeight w:val="299"/>
        </w:trPr>
        <w:tc>
          <w:tcPr>
            <w:tcW w:w="707" w:type="dxa"/>
            <w:tcBorders>
              <w:top w:val="nil"/>
              <w:left w:val="single" w:sz="4" w:space="0" w:color="auto"/>
              <w:bottom w:val="single" w:sz="4" w:space="0" w:color="auto"/>
              <w:right w:val="single" w:sz="4" w:space="0" w:color="auto"/>
            </w:tcBorders>
            <w:vAlign w:val="center"/>
          </w:tcPr>
          <w:p w14:paraId="58F7C6EA" w14:textId="77777777" w:rsidR="00F70766" w:rsidRPr="00595C72" w:rsidRDefault="00F70766" w:rsidP="001627A4">
            <w:pPr>
              <w:spacing w:after="0" w:line="240" w:lineRule="auto"/>
              <w:rPr>
                <w:rFonts w:ascii="Aptos" w:eastAsia="Times New Roman" w:hAnsi="Aptos" w:cs="Calibri"/>
                <w:sz w:val="18"/>
                <w:szCs w:val="18"/>
                <w:lang w:eastAsia="it-IT"/>
              </w:rPr>
            </w:pPr>
            <w:r w:rsidRPr="00595C72">
              <w:rPr>
                <w:rFonts w:ascii="Aptos" w:eastAsia="Times New Roman" w:hAnsi="Aptos" w:cs="Calibri"/>
                <w:color w:val="000000"/>
                <w:sz w:val="18"/>
                <w:szCs w:val="18"/>
                <w:lang w:eastAsia="it-IT"/>
              </w:rPr>
              <w:t>BA0210</w:t>
            </w:r>
          </w:p>
        </w:tc>
        <w:tc>
          <w:tcPr>
            <w:tcW w:w="1982" w:type="dxa"/>
            <w:tcBorders>
              <w:top w:val="nil"/>
              <w:left w:val="single" w:sz="4" w:space="0" w:color="auto"/>
              <w:bottom w:val="single" w:sz="4" w:space="0" w:color="auto"/>
              <w:right w:val="single" w:sz="4" w:space="0" w:color="auto"/>
            </w:tcBorders>
            <w:shd w:val="clear" w:color="auto" w:fill="auto"/>
            <w:vAlign w:val="center"/>
            <w:hideMark/>
          </w:tcPr>
          <w:p w14:paraId="3496E570" w14:textId="77777777" w:rsidR="00F70766" w:rsidRPr="00595C72" w:rsidRDefault="00F70766" w:rsidP="001627A4">
            <w:pPr>
              <w:spacing w:after="0" w:line="240" w:lineRule="auto"/>
              <w:rPr>
                <w:rFonts w:ascii="Aptos" w:eastAsia="Times New Roman" w:hAnsi="Aptos" w:cs="Calibri"/>
                <w:sz w:val="18"/>
                <w:szCs w:val="18"/>
                <w:lang w:eastAsia="it-IT"/>
              </w:rPr>
            </w:pPr>
            <w:r w:rsidRPr="00595C72">
              <w:rPr>
                <w:rFonts w:ascii="Aptos" w:eastAsia="Times New Roman" w:hAnsi="Aptos" w:cs="Calibri"/>
                <w:sz w:val="18"/>
                <w:szCs w:val="18"/>
                <w:lang w:eastAsia="it-IT"/>
              </w:rPr>
              <w:t>B.1.A.3) Dispositivi medici</w:t>
            </w:r>
          </w:p>
        </w:tc>
        <w:tc>
          <w:tcPr>
            <w:tcW w:w="1052" w:type="dxa"/>
            <w:tcBorders>
              <w:top w:val="nil"/>
              <w:left w:val="nil"/>
              <w:bottom w:val="single" w:sz="4" w:space="0" w:color="auto"/>
              <w:right w:val="single" w:sz="4" w:space="0" w:color="auto"/>
            </w:tcBorders>
            <w:shd w:val="clear" w:color="auto" w:fill="auto"/>
            <w:noWrap/>
            <w:vAlign w:val="center"/>
            <w:hideMark/>
          </w:tcPr>
          <w:p w14:paraId="1BECB8C8" w14:textId="77777777" w:rsidR="00F70766" w:rsidRPr="00595C72" w:rsidRDefault="00F70766" w:rsidP="001627A4">
            <w:pPr>
              <w:jc w:val="center"/>
              <w:rPr>
                <w:rFonts w:ascii="Aptos" w:hAnsi="Aptos" w:cs="Calibri"/>
                <w:color w:val="000000"/>
                <w:sz w:val="18"/>
                <w:szCs w:val="18"/>
              </w:rPr>
            </w:pPr>
            <w:r w:rsidRPr="00595C72">
              <w:rPr>
                <w:rFonts w:ascii="Aptos" w:hAnsi="Aptos" w:cs="Calibri"/>
                <w:color w:val="000000"/>
                <w:sz w:val="18"/>
                <w:szCs w:val="18"/>
              </w:rPr>
              <w:t>65.128.519</w:t>
            </w:r>
          </w:p>
        </w:tc>
        <w:tc>
          <w:tcPr>
            <w:tcW w:w="1052" w:type="dxa"/>
            <w:tcBorders>
              <w:top w:val="nil"/>
              <w:left w:val="nil"/>
              <w:bottom w:val="single" w:sz="4" w:space="0" w:color="auto"/>
              <w:right w:val="single" w:sz="4" w:space="0" w:color="auto"/>
            </w:tcBorders>
            <w:shd w:val="clear" w:color="auto" w:fill="auto"/>
            <w:noWrap/>
            <w:vAlign w:val="center"/>
            <w:hideMark/>
          </w:tcPr>
          <w:p w14:paraId="637981E2" w14:textId="77777777" w:rsidR="00F70766" w:rsidRPr="00595C72" w:rsidRDefault="00F70766" w:rsidP="001627A4">
            <w:pPr>
              <w:jc w:val="center"/>
              <w:rPr>
                <w:rFonts w:ascii="Aptos" w:hAnsi="Aptos" w:cs="Calibri"/>
                <w:color w:val="000000"/>
                <w:sz w:val="18"/>
                <w:szCs w:val="18"/>
              </w:rPr>
            </w:pPr>
            <w:r w:rsidRPr="00595C72">
              <w:rPr>
                <w:rFonts w:ascii="Aptos" w:hAnsi="Aptos" w:cs="Calibri"/>
                <w:color w:val="000000"/>
                <w:sz w:val="18"/>
                <w:szCs w:val="18"/>
              </w:rPr>
              <w:t>64.288.203</w:t>
            </w:r>
          </w:p>
        </w:tc>
        <w:tc>
          <w:tcPr>
            <w:tcW w:w="1134" w:type="dxa"/>
            <w:tcBorders>
              <w:top w:val="nil"/>
              <w:left w:val="nil"/>
              <w:bottom w:val="single" w:sz="4" w:space="0" w:color="auto"/>
              <w:right w:val="single" w:sz="4" w:space="0" w:color="auto"/>
            </w:tcBorders>
            <w:shd w:val="clear" w:color="auto" w:fill="auto"/>
            <w:noWrap/>
            <w:vAlign w:val="center"/>
            <w:hideMark/>
          </w:tcPr>
          <w:p w14:paraId="4778A1E7" w14:textId="77777777" w:rsidR="00F70766" w:rsidRPr="00595C72" w:rsidRDefault="00F70766" w:rsidP="001627A4">
            <w:pPr>
              <w:jc w:val="center"/>
              <w:rPr>
                <w:rFonts w:ascii="Aptos" w:hAnsi="Aptos" w:cs="Calibri"/>
                <w:color w:val="000000"/>
                <w:sz w:val="18"/>
                <w:szCs w:val="18"/>
              </w:rPr>
            </w:pPr>
            <w:r w:rsidRPr="00595C72">
              <w:rPr>
                <w:rFonts w:ascii="Aptos" w:hAnsi="Aptos" w:cs="Calibri"/>
                <w:color w:val="000000"/>
                <w:sz w:val="18"/>
                <w:szCs w:val="18"/>
              </w:rPr>
              <w:t>61.116.898</w:t>
            </w:r>
          </w:p>
        </w:tc>
        <w:tc>
          <w:tcPr>
            <w:tcW w:w="667" w:type="dxa"/>
            <w:tcBorders>
              <w:top w:val="nil"/>
              <w:left w:val="nil"/>
              <w:bottom w:val="single" w:sz="4" w:space="0" w:color="auto"/>
              <w:right w:val="single" w:sz="4" w:space="0" w:color="auto"/>
            </w:tcBorders>
            <w:shd w:val="clear" w:color="auto" w:fill="auto"/>
            <w:noWrap/>
            <w:vAlign w:val="center"/>
            <w:hideMark/>
          </w:tcPr>
          <w:p w14:paraId="79E7FCD9" w14:textId="77777777" w:rsidR="00F70766" w:rsidRPr="00595C72" w:rsidRDefault="00F70766" w:rsidP="001627A4">
            <w:pPr>
              <w:jc w:val="center"/>
              <w:rPr>
                <w:rFonts w:ascii="Aptos" w:hAnsi="Aptos" w:cs="Calibri"/>
                <w:color w:val="000000"/>
                <w:sz w:val="18"/>
                <w:szCs w:val="18"/>
              </w:rPr>
            </w:pPr>
            <w:r w:rsidRPr="00595C72">
              <w:rPr>
                <w:rFonts w:ascii="Aptos" w:hAnsi="Aptos" w:cs="Calibri"/>
                <w:color w:val="000000"/>
                <w:sz w:val="18"/>
                <w:szCs w:val="18"/>
              </w:rPr>
              <w:t>840.316</w:t>
            </w:r>
          </w:p>
        </w:tc>
        <w:tc>
          <w:tcPr>
            <w:tcW w:w="1439" w:type="dxa"/>
            <w:tcBorders>
              <w:top w:val="nil"/>
              <w:left w:val="nil"/>
              <w:bottom w:val="single" w:sz="4" w:space="0" w:color="auto"/>
              <w:right w:val="single" w:sz="4" w:space="0" w:color="auto"/>
            </w:tcBorders>
            <w:shd w:val="clear" w:color="auto" w:fill="auto"/>
            <w:vAlign w:val="center"/>
            <w:hideMark/>
          </w:tcPr>
          <w:p w14:paraId="53DBFA2E" w14:textId="77777777" w:rsidR="00F70766" w:rsidRPr="00595C72" w:rsidRDefault="00F70766" w:rsidP="001627A4">
            <w:pPr>
              <w:jc w:val="center"/>
              <w:rPr>
                <w:rFonts w:ascii="Aptos" w:hAnsi="Aptos" w:cs="Calibri"/>
                <w:color w:val="000000"/>
                <w:sz w:val="18"/>
                <w:szCs w:val="18"/>
              </w:rPr>
            </w:pPr>
            <w:r w:rsidRPr="00595C72">
              <w:rPr>
                <w:rFonts w:ascii="Aptos" w:hAnsi="Aptos" w:cs="Calibri"/>
                <w:color w:val="000000"/>
                <w:sz w:val="18"/>
                <w:szCs w:val="18"/>
              </w:rPr>
              <w:t>TETTO DI SPESA DD110-2024</w:t>
            </w:r>
          </w:p>
        </w:tc>
        <w:tc>
          <w:tcPr>
            <w:tcW w:w="1099" w:type="dxa"/>
            <w:tcBorders>
              <w:top w:val="nil"/>
              <w:left w:val="nil"/>
              <w:bottom w:val="single" w:sz="4" w:space="0" w:color="auto"/>
              <w:right w:val="single" w:sz="4" w:space="0" w:color="auto"/>
            </w:tcBorders>
            <w:shd w:val="clear" w:color="auto" w:fill="auto"/>
            <w:noWrap/>
            <w:vAlign w:val="center"/>
            <w:hideMark/>
          </w:tcPr>
          <w:p w14:paraId="39199F89" w14:textId="77777777" w:rsidR="00F70766" w:rsidRPr="00595C72" w:rsidRDefault="00F70766" w:rsidP="001627A4">
            <w:pPr>
              <w:jc w:val="center"/>
              <w:rPr>
                <w:rFonts w:ascii="Aptos" w:hAnsi="Aptos" w:cs="Calibri"/>
                <w:color w:val="000000"/>
                <w:sz w:val="18"/>
                <w:szCs w:val="18"/>
              </w:rPr>
            </w:pPr>
            <w:r w:rsidRPr="00595C72">
              <w:rPr>
                <w:rFonts w:ascii="Aptos" w:hAnsi="Aptos" w:cs="Calibri"/>
                <w:color w:val="000000"/>
                <w:sz w:val="18"/>
                <w:szCs w:val="18"/>
              </w:rPr>
              <w:t>- 6.305.041</w:t>
            </w:r>
          </w:p>
        </w:tc>
      </w:tr>
    </w:tbl>
    <w:p w14:paraId="4BD4DEB7" w14:textId="77777777" w:rsidR="00F70766" w:rsidRPr="00EC5A23" w:rsidRDefault="00F70766" w:rsidP="00F70766">
      <w:pPr>
        <w:spacing w:after="120" w:line="240" w:lineRule="auto"/>
        <w:ind w:left="709"/>
        <w:jc w:val="both"/>
        <w:rPr>
          <w:rFonts w:ascii="Aptos" w:hAnsi="Aptos"/>
        </w:rPr>
      </w:pPr>
    </w:p>
    <w:p w14:paraId="4070DEE8" w14:textId="77777777" w:rsidR="00F70766" w:rsidRPr="00EC5A23" w:rsidRDefault="00F70766" w:rsidP="00F70766">
      <w:pPr>
        <w:pStyle w:val="Paragrafoelenco"/>
        <w:numPr>
          <w:ilvl w:val="0"/>
          <w:numId w:val="32"/>
        </w:numPr>
        <w:spacing w:after="120"/>
        <w:contextualSpacing w:val="0"/>
        <w:jc w:val="both"/>
        <w:rPr>
          <w:rFonts w:ascii="Aptos" w:hAnsi="Aptos"/>
          <w:b/>
        </w:rPr>
      </w:pPr>
      <w:r w:rsidRPr="00EC5A23">
        <w:rPr>
          <w:rFonts w:ascii="Aptos" w:hAnsi="Aptos"/>
          <w:b/>
        </w:rPr>
        <w:t>Saldo mobilità passiva -81,6 mln</w:t>
      </w:r>
    </w:p>
    <w:p w14:paraId="45244E9C" w14:textId="2E87F68F" w:rsidR="00F70766" w:rsidRPr="00EC5A23" w:rsidRDefault="00F70766" w:rsidP="00F70766">
      <w:pPr>
        <w:spacing w:after="120" w:line="240" w:lineRule="auto"/>
        <w:ind w:left="709"/>
        <w:jc w:val="both"/>
        <w:rPr>
          <w:rFonts w:ascii="Aptos" w:hAnsi="Aptos"/>
        </w:rPr>
      </w:pPr>
      <w:r w:rsidRPr="00EC5A23">
        <w:rPr>
          <w:rFonts w:ascii="Aptos" w:hAnsi="Aptos"/>
        </w:rPr>
        <w:t xml:space="preserve">Nel riparto 2024 sono stati </w:t>
      </w:r>
      <w:r w:rsidR="0050389C">
        <w:rPr>
          <w:rFonts w:ascii="Aptos" w:hAnsi="Aptos"/>
        </w:rPr>
        <w:t>considerati</w:t>
      </w:r>
      <w:r w:rsidRPr="00EC5A23">
        <w:rPr>
          <w:rFonts w:ascii="Aptos" w:hAnsi="Aptos"/>
        </w:rPr>
        <w:t xml:space="preserve"> gli ultimi </w:t>
      </w:r>
      <w:r w:rsidR="0050389C">
        <w:rPr>
          <w:rFonts w:ascii="Aptos" w:hAnsi="Aptos"/>
        </w:rPr>
        <w:t xml:space="preserve">dati </w:t>
      </w:r>
      <w:r w:rsidRPr="00EC5A23">
        <w:rPr>
          <w:rFonts w:ascii="Aptos" w:hAnsi="Aptos"/>
        </w:rPr>
        <w:t>disponibili relativi all’anno 2023: la mobilità attiva totale extra regionale (cittadini di altre regioni curatisi</w:t>
      </w:r>
      <w:r w:rsidR="0050389C">
        <w:rPr>
          <w:rFonts w:ascii="Aptos" w:hAnsi="Aptos"/>
        </w:rPr>
        <w:t xml:space="preserve"> in Basilicata</w:t>
      </w:r>
      <w:r w:rsidRPr="00EC5A23">
        <w:rPr>
          <w:rFonts w:ascii="Aptos" w:hAnsi="Aptos"/>
        </w:rPr>
        <w:t>) è risultata di euro +63 milioni, a fronte di una mobilità passiva totale di euro -144 milioni.</w:t>
      </w:r>
    </w:p>
    <w:p w14:paraId="1CE898D5" w14:textId="77777777" w:rsidR="00F70766" w:rsidRPr="00EC5A23" w:rsidRDefault="00F70766" w:rsidP="00F70766">
      <w:pPr>
        <w:spacing w:after="120" w:line="240" w:lineRule="auto"/>
        <w:ind w:left="709"/>
        <w:jc w:val="both"/>
        <w:rPr>
          <w:rFonts w:ascii="Aptos" w:hAnsi="Aptos"/>
        </w:rPr>
      </w:pPr>
      <w:r w:rsidRPr="00EC5A23">
        <w:rPr>
          <w:rFonts w:ascii="Aptos" w:hAnsi="Aptos"/>
        </w:rPr>
        <w:t>Il saldo di mobilità passiva internazionale è di -0,834 mln (0,138 mln di attiva meno 0,937 di passiva).</w:t>
      </w:r>
    </w:p>
    <w:p w14:paraId="223BD4E9" w14:textId="77777777" w:rsidR="00F70766" w:rsidRDefault="00F70766" w:rsidP="00F70766">
      <w:pPr>
        <w:spacing w:after="120" w:line="240" w:lineRule="auto"/>
        <w:ind w:left="709"/>
        <w:jc w:val="both"/>
        <w:rPr>
          <w:rFonts w:ascii="Aptos" w:hAnsi="Aptos"/>
        </w:rPr>
      </w:pPr>
      <w:r w:rsidRPr="00EC5A23">
        <w:rPr>
          <w:rFonts w:ascii="Aptos" w:hAnsi="Aptos"/>
        </w:rPr>
        <w:t>Il saldo di mobilità passiva totale è risultato pari a -81,646, in riduzione rispetto al dato 2022 ma comunque ancora significativamente alto in termini di valore complessivo.</w:t>
      </w:r>
    </w:p>
    <w:tbl>
      <w:tblPr>
        <w:tblW w:w="9323" w:type="dxa"/>
        <w:tblInd w:w="426" w:type="dxa"/>
        <w:tblCellMar>
          <w:left w:w="70" w:type="dxa"/>
          <w:right w:w="70" w:type="dxa"/>
        </w:tblCellMar>
        <w:tblLook w:val="04A0" w:firstRow="1" w:lastRow="0" w:firstColumn="1" w:lastColumn="0" w:noHBand="0" w:noVBand="1"/>
      </w:tblPr>
      <w:tblGrid>
        <w:gridCol w:w="2409"/>
        <w:gridCol w:w="1418"/>
        <w:gridCol w:w="1574"/>
        <w:gridCol w:w="1242"/>
        <w:gridCol w:w="1242"/>
        <w:gridCol w:w="1438"/>
      </w:tblGrid>
      <w:tr w:rsidR="00F70766" w:rsidRPr="00EC5A23" w14:paraId="4934BFD2" w14:textId="77777777" w:rsidTr="00595C72">
        <w:trPr>
          <w:trHeight w:val="300"/>
        </w:trPr>
        <w:tc>
          <w:tcPr>
            <w:tcW w:w="3827" w:type="dxa"/>
            <w:gridSpan w:val="2"/>
            <w:tcBorders>
              <w:top w:val="nil"/>
              <w:left w:val="nil"/>
              <w:bottom w:val="nil"/>
              <w:right w:val="nil"/>
            </w:tcBorders>
            <w:shd w:val="clear" w:color="auto" w:fill="auto"/>
            <w:noWrap/>
            <w:vAlign w:val="bottom"/>
            <w:hideMark/>
          </w:tcPr>
          <w:p w14:paraId="6C63A497" w14:textId="77777777" w:rsidR="00F70766" w:rsidRPr="00EC5A23" w:rsidRDefault="00F70766" w:rsidP="001627A4">
            <w:pPr>
              <w:spacing w:after="0" w:line="240" w:lineRule="auto"/>
              <w:rPr>
                <w:rFonts w:ascii="Aptos" w:eastAsia="Times New Roman" w:hAnsi="Aptos" w:cs="Calibri"/>
                <w:b/>
                <w:bCs/>
                <w:color w:val="000000"/>
                <w:lang w:eastAsia="it-IT"/>
              </w:rPr>
            </w:pPr>
            <w:r w:rsidRPr="00EC5A23">
              <w:rPr>
                <w:rFonts w:ascii="Aptos" w:eastAsia="Times New Roman" w:hAnsi="Aptos" w:cs="Calibri"/>
                <w:b/>
                <w:bCs/>
                <w:color w:val="000000"/>
                <w:lang w:eastAsia="it-IT"/>
              </w:rPr>
              <w:t>MOBILITA' EXTRA REGIONALE E INTERNAZIONALE 2023</w:t>
            </w:r>
          </w:p>
        </w:tc>
        <w:tc>
          <w:tcPr>
            <w:tcW w:w="1574" w:type="dxa"/>
            <w:tcBorders>
              <w:top w:val="nil"/>
              <w:left w:val="nil"/>
              <w:bottom w:val="nil"/>
              <w:right w:val="nil"/>
            </w:tcBorders>
            <w:shd w:val="clear" w:color="auto" w:fill="auto"/>
            <w:noWrap/>
            <w:vAlign w:val="bottom"/>
            <w:hideMark/>
          </w:tcPr>
          <w:p w14:paraId="45AE2CAA" w14:textId="77777777" w:rsidR="00F70766" w:rsidRPr="00EC5A23" w:rsidRDefault="00F70766" w:rsidP="001627A4">
            <w:pPr>
              <w:spacing w:after="0" w:line="240" w:lineRule="auto"/>
              <w:rPr>
                <w:rFonts w:ascii="Aptos" w:eastAsia="Times New Roman" w:hAnsi="Aptos" w:cs="Calibri"/>
                <w:b/>
                <w:bCs/>
                <w:color w:val="000000"/>
                <w:lang w:eastAsia="it-IT"/>
              </w:rPr>
            </w:pPr>
          </w:p>
        </w:tc>
        <w:tc>
          <w:tcPr>
            <w:tcW w:w="1242" w:type="dxa"/>
            <w:tcBorders>
              <w:top w:val="nil"/>
              <w:left w:val="nil"/>
              <w:bottom w:val="nil"/>
              <w:right w:val="nil"/>
            </w:tcBorders>
            <w:shd w:val="clear" w:color="auto" w:fill="auto"/>
            <w:noWrap/>
            <w:vAlign w:val="bottom"/>
            <w:hideMark/>
          </w:tcPr>
          <w:p w14:paraId="45F460AE" w14:textId="77777777" w:rsidR="00F70766" w:rsidRPr="00EC5A23" w:rsidRDefault="00F70766" w:rsidP="001627A4">
            <w:pPr>
              <w:spacing w:after="0" w:line="240" w:lineRule="auto"/>
              <w:rPr>
                <w:rFonts w:ascii="Aptos" w:eastAsia="Times New Roman" w:hAnsi="Aptos" w:cs="Times New Roman"/>
                <w:lang w:eastAsia="it-IT"/>
              </w:rPr>
            </w:pPr>
          </w:p>
        </w:tc>
        <w:tc>
          <w:tcPr>
            <w:tcW w:w="1242" w:type="dxa"/>
            <w:tcBorders>
              <w:top w:val="nil"/>
              <w:left w:val="nil"/>
              <w:bottom w:val="nil"/>
              <w:right w:val="nil"/>
            </w:tcBorders>
            <w:shd w:val="clear" w:color="auto" w:fill="auto"/>
            <w:noWrap/>
            <w:vAlign w:val="bottom"/>
            <w:hideMark/>
          </w:tcPr>
          <w:p w14:paraId="4B2DD4C4" w14:textId="77777777" w:rsidR="00F70766" w:rsidRPr="00EC5A23" w:rsidRDefault="00F70766" w:rsidP="001627A4">
            <w:pPr>
              <w:spacing w:after="0" w:line="240" w:lineRule="auto"/>
              <w:rPr>
                <w:rFonts w:ascii="Aptos" w:eastAsia="Times New Roman" w:hAnsi="Aptos" w:cs="Times New Roman"/>
                <w:lang w:eastAsia="it-IT"/>
              </w:rPr>
            </w:pPr>
          </w:p>
        </w:tc>
        <w:tc>
          <w:tcPr>
            <w:tcW w:w="1438" w:type="dxa"/>
            <w:tcBorders>
              <w:top w:val="nil"/>
              <w:left w:val="nil"/>
              <w:bottom w:val="nil"/>
              <w:right w:val="nil"/>
            </w:tcBorders>
            <w:shd w:val="clear" w:color="auto" w:fill="auto"/>
            <w:noWrap/>
            <w:vAlign w:val="bottom"/>
            <w:hideMark/>
          </w:tcPr>
          <w:p w14:paraId="38485013" w14:textId="77777777" w:rsidR="00F70766" w:rsidRPr="00EC5A23" w:rsidRDefault="00F70766" w:rsidP="001627A4">
            <w:pPr>
              <w:spacing w:after="0" w:line="240" w:lineRule="auto"/>
              <w:rPr>
                <w:rFonts w:ascii="Aptos" w:eastAsia="Times New Roman" w:hAnsi="Aptos" w:cs="Times New Roman"/>
                <w:lang w:eastAsia="it-IT"/>
              </w:rPr>
            </w:pPr>
          </w:p>
        </w:tc>
      </w:tr>
      <w:tr w:rsidR="00F70766" w:rsidRPr="00EC5A23" w14:paraId="0445C146" w14:textId="77777777" w:rsidTr="00595C72">
        <w:trPr>
          <w:trHeight w:val="495"/>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FA9BE" w14:textId="77777777" w:rsidR="00F70766" w:rsidRPr="00EC5A23" w:rsidRDefault="00F70766" w:rsidP="001627A4">
            <w:pPr>
              <w:spacing w:after="0" w:line="240" w:lineRule="auto"/>
              <w:rPr>
                <w:rFonts w:ascii="Aptos" w:eastAsia="Times New Roman" w:hAnsi="Aptos" w:cs="Calibri"/>
                <w:b/>
                <w:bCs/>
                <w:color w:val="000000"/>
                <w:lang w:eastAsia="it-IT"/>
              </w:rPr>
            </w:pPr>
            <w:r w:rsidRPr="00EC5A23">
              <w:rPr>
                <w:rFonts w:ascii="Aptos" w:eastAsia="Times New Roman" w:hAnsi="Aptos" w:cs="Calibri"/>
                <w:b/>
                <w:bCs/>
                <w:color w:val="000000"/>
                <w:lang w:eastAsia="it-IT"/>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0F9851" w14:textId="046D679B" w:rsidR="00F70766" w:rsidRPr="00EC5A23" w:rsidRDefault="00F70766" w:rsidP="0091206F">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ASP</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66534167" w14:textId="6396515B" w:rsidR="00F70766" w:rsidRPr="00EC5A23" w:rsidRDefault="00F70766" w:rsidP="0091206F">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ASM</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300EE80" w14:textId="7D1CE1CF" w:rsidR="00F70766" w:rsidRPr="00EC5A23" w:rsidRDefault="00F70766" w:rsidP="0091206F">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AOR</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75CA756B" w14:textId="6DC490A1" w:rsidR="00F70766" w:rsidRPr="00EC5A23" w:rsidRDefault="00F70766" w:rsidP="0091206F">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CROB</w:t>
            </w:r>
          </w:p>
        </w:tc>
        <w:tc>
          <w:tcPr>
            <w:tcW w:w="1438" w:type="dxa"/>
            <w:tcBorders>
              <w:top w:val="single" w:sz="4" w:space="0" w:color="auto"/>
              <w:left w:val="nil"/>
              <w:bottom w:val="single" w:sz="4" w:space="0" w:color="auto"/>
              <w:right w:val="single" w:sz="4" w:space="0" w:color="auto"/>
            </w:tcBorders>
            <w:shd w:val="clear" w:color="auto" w:fill="auto"/>
            <w:vAlign w:val="bottom"/>
            <w:hideMark/>
          </w:tcPr>
          <w:p w14:paraId="730790AA" w14:textId="52AC7DB8" w:rsidR="00F70766" w:rsidRPr="00EC5A23" w:rsidRDefault="00F70766" w:rsidP="0091206F">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TOTALE REGIONE</w:t>
            </w:r>
          </w:p>
        </w:tc>
      </w:tr>
      <w:tr w:rsidR="00F70766" w:rsidRPr="00EC5A23" w14:paraId="0A80FBA7" w14:textId="77777777" w:rsidTr="00595C72">
        <w:trPr>
          <w:trHeight w:val="300"/>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0314431F"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Mobilità Extraregionale attiva</w:t>
            </w:r>
          </w:p>
        </w:tc>
        <w:tc>
          <w:tcPr>
            <w:tcW w:w="1418" w:type="dxa"/>
            <w:tcBorders>
              <w:top w:val="nil"/>
              <w:left w:val="nil"/>
              <w:bottom w:val="single" w:sz="4" w:space="0" w:color="auto"/>
              <w:right w:val="single" w:sz="4" w:space="0" w:color="auto"/>
            </w:tcBorders>
            <w:shd w:val="clear" w:color="auto" w:fill="auto"/>
            <w:noWrap/>
            <w:vAlign w:val="bottom"/>
            <w:hideMark/>
          </w:tcPr>
          <w:p w14:paraId="3B5FA194"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4.944.240 </w:t>
            </w:r>
          </w:p>
        </w:tc>
        <w:tc>
          <w:tcPr>
            <w:tcW w:w="1574" w:type="dxa"/>
            <w:tcBorders>
              <w:top w:val="nil"/>
              <w:left w:val="nil"/>
              <w:bottom w:val="single" w:sz="4" w:space="0" w:color="auto"/>
              <w:right w:val="single" w:sz="4" w:space="0" w:color="auto"/>
            </w:tcBorders>
            <w:shd w:val="clear" w:color="auto" w:fill="auto"/>
            <w:noWrap/>
            <w:vAlign w:val="bottom"/>
            <w:hideMark/>
          </w:tcPr>
          <w:p w14:paraId="5EC66FC6"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14.688.955 </w:t>
            </w:r>
          </w:p>
        </w:tc>
        <w:tc>
          <w:tcPr>
            <w:tcW w:w="1242" w:type="dxa"/>
            <w:tcBorders>
              <w:top w:val="nil"/>
              <w:left w:val="nil"/>
              <w:bottom w:val="single" w:sz="4" w:space="0" w:color="auto"/>
              <w:right w:val="single" w:sz="4" w:space="0" w:color="auto"/>
            </w:tcBorders>
            <w:shd w:val="clear" w:color="auto" w:fill="auto"/>
            <w:noWrap/>
            <w:vAlign w:val="bottom"/>
            <w:hideMark/>
          </w:tcPr>
          <w:p w14:paraId="7DBAFAEF"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29.796.189 </w:t>
            </w:r>
          </w:p>
        </w:tc>
        <w:tc>
          <w:tcPr>
            <w:tcW w:w="1242" w:type="dxa"/>
            <w:tcBorders>
              <w:top w:val="nil"/>
              <w:left w:val="nil"/>
              <w:bottom w:val="single" w:sz="4" w:space="0" w:color="auto"/>
              <w:right w:val="single" w:sz="4" w:space="0" w:color="auto"/>
            </w:tcBorders>
            <w:shd w:val="clear" w:color="auto" w:fill="auto"/>
            <w:noWrap/>
            <w:vAlign w:val="bottom"/>
            <w:hideMark/>
          </w:tcPr>
          <w:p w14:paraId="09399445"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13.866.780 </w:t>
            </w:r>
          </w:p>
        </w:tc>
        <w:tc>
          <w:tcPr>
            <w:tcW w:w="1438" w:type="dxa"/>
            <w:tcBorders>
              <w:top w:val="nil"/>
              <w:left w:val="nil"/>
              <w:bottom w:val="single" w:sz="4" w:space="0" w:color="auto"/>
              <w:right w:val="single" w:sz="4" w:space="0" w:color="auto"/>
            </w:tcBorders>
            <w:shd w:val="clear" w:color="auto" w:fill="auto"/>
            <w:noWrap/>
            <w:vAlign w:val="bottom"/>
            <w:hideMark/>
          </w:tcPr>
          <w:p w14:paraId="00F9CED9"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63.296.164 </w:t>
            </w:r>
          </w:p>
        </w:tc>
      </w:tr>
      <w:tr w:rsidR="00F70766" w:rsidRPr="00EC5A23" w14:paraId="0128CF6D" w14:textId="77777777" w:rsidTr="00595C72">
        <w:trPr>
          <w:trHeight w:val="300"/>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1142FE94"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Totali Costi Mobilità Extra Regionale</w:t>
            </w:r>
          </w:p>
        </w:tc>
        <w:tc>
          <w:tcPr>
            <w:tcW w:w="1418" w:type="dxa"/>
            <w:tcBorders>
              <w:top w:val="nil"/>
              <w:left w:val="nil"/>
              <w:bottom w:val="single" w:sz="4" w:space="0" w:color="auto"/>
              <w:right w:val="single" w:sz="4" w:space="0" w:color="auto"/>
            </w:tcBorders>
            <w:shd w:val="clear" w:color="auto" w:fill="auto"/>
            <w:noWrap/>
            <w:vAlign w:val="bottom"/>
            <w:hideMark/>
          </w:tcPr>
          <w:p w14:paraId="522D28A0"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- 86.019.059 </w:t>
            </w:r>
          </w:p>
        </w:tc>
        <w:tc>
          <w:tcPr>
            <w:tcW w:w="1574" w:type="dxa"/>
            <w:tcBorders>
              <w:top w:val="nil"/>
              <w:left w:val="nil"/>
              <w:bottom w:val="single" w:sz="4" w:space="0" w:color="auto"/>
              <w:right w:val="single" w:sz="4" w:space="0" w:color="auto"/>
            </w:tcBorders>
            <w:shd w:val="clear" w:color="auto" w:fill="auto"/>
            <w:noWrap/>
            <w:vAlign w:val="bottom"/>
            <w:hideMark/>
          </w:tcPr>
          <w:p w14:paraId="297C74CE"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- 58.089.083 </w:t>
            </w:r>
          </w:p>
        </w:tc>
        <w:tc>
          <w:tcPr>
            <w:tcW w:w="1242" w:type="dxa"/>
            <w:tcBorders>
              <w:top w:val="nil"/>
              <w:left w:val="nil"/>
              <w:bottom w:val="single" w:sz="4" w:space="0" w:color="auto"/>
              <w:right w:val="single" w:sz="4" w:space="0" w:color="auto"/>
            </w:tcBorders>
            <w:shd w:val="clear" w:color="auto" w:fill="auto"/>
            <w:noWrap/>
            <w:vAlign w:val="bottom"/>
            <w:hideMark/>
          </w:tcPr>
          <w:p w14:paraId="2699C992"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   </w:t>
            </w:r>
          </w:p>
        </w:tc>
        <w:tc>
          <w:tcPr>
            <w:tcW w:w="1242" w:type="dxa"/>
            <w:tcBorders>
              <w:top w:val="nil"/>
              <w:left w:val="nil"/>
              <w:bottom w:val="single" w:sz="4" w:space="0" w:color="auto"/>
              <w:right w:val="single" w:sz="4" w:space="0" w:color="auto"/>
            </w:tcBorders>
            <w:shd w:val="clear" w:color="auto" w:fill="auto"/>
            <w:noWrap/>
            <w:vAlign w:val="bottom"/>
            <w:hideMark/>
          </w:tcPr>
          <w:p w14:paraId="74D6AB7F"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   </w:t>
            </w:r>
          </w:p>
        </w:tc>
        <w:tc>
          <w:tcPr>
            <w:tcW w:w="1438" w:type="dxa"/>
            <w:tcBorders>
              <w:top w:val="nil"/>
              <w:left w:val="nil"/>
              <w:bottom w:val="single" w:sz="4" w:space="0" w:color="auto"/>
              <w:right w:val="single" w:sz="4" w:space="0" w:color="auto"/>
            </w:tcBorders>
            <w:shd w:val="clear" w:color="auto" w:fill="auto"/>
            <w:noWrap/>
            <w:vAlign w:val="bottom"/>
            <w:hideMark/>
          </w:tcPr>
          <w:p w14:paraId="6A7E0F96"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- 144.108.142 </w:t>
            </w:r>
          </w:p>
        </w:tc>
      </w:tr>
      <w:tr w:rsidR="00F70766" w:rsidRPr="00EC5A23" w14:paraId="31B3B11D" w14:textId="77777777" w:rsidTr="00595C72">
        <w:trPr>
          <w:trHeight w:val="300"/>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15AA4B96" w14:textId="77777777" w:rsidR="00F70766" w:rsidRPr="00EC5A23" w:rsidRDefault="00F70766" w:rsidP="001627A4">
            <w:pPr>
              <w:spacing w:after="0" w:line="240" w:lineRule="auto"/>
              <w:rPr>
                <w:rFonts w:ascii="Aptos" w:eastAsia="Times New Roman" w:hAnsi="Aptos" w:cs="Calibri"/>
                <w:b/>
                <w:bCs/>
                <w:color w:val="000000"/>
                <w:lang w:eastAsia="it-IT"/>
              </w:rPr>
            </w:pPr>
            <w:r w:rsidRPr="00EC5A23">
              <w:rPr>
                <w:rFonts w:ascii="Aptos" w:eastAsia="Times New Roman" w:hAnsi="Aptos" w:cs="Calibri"/>
                <w:b/>
                <w:bCs/>
                <w:color w:val="000000"/>
                <w:lang w:eastAsia="it-IT"/>
              </w:rPr>
              <w:t>Saldo Mobilità Extra Regionale</w:t>
            </w:r>
          </w:p>
        </w:tc>
        <w:tc>
          <w:tcPr>
            <w:tcW w:w="1418" w:type="dxa"/>
            <w:tcBorders>
              <w:top w:val="nil"/>
              <w:left w:val="nil"/>
              <w:bottom w:val="single" w:sz="4" w:space="0" w:color="auto"/>
              <w:right w:val="single" w:sz="4" w:space="0" w:color="auto"/>
            </w:tcBorders>
            <w:shd w:val="clear" w:color="auto" w:fill="auto"/>
            <w:noWrap/>
            <w:vAlign w:val="bottom"/>
            <w:hideMark/>
          </w:tcPr>
          <w:p w14:paraId="41227BCE"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81.074.819 </w:t>
            </w:r>
          </w:p>
        </w:tc>
        <w:tc>
          <w:tcPr>
            <w:tcW w:w="1574" w:type="dxa"/>
            <w:tcBorders>
              <w:top w:val="nil"/>
              <w:left w:val="nil"/>
              <w:bottom w:val="single" w:sz="4" w:space="0" w:color="auto"/>
              <w:right w:val="single" w:sz="4" w:space="0" w:color="auto"/>
            </w:tcBorders>
            <w:shd w:val="clear" w:color="auto" w:fill="auto"/>
            <w:noWrap/>
            <w:vAlign w:val="bottom"/>
            <w:hideMark/>
          </w:tcPr>
          <w:p w14:paraId="62F469A9"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- 43.400.128 </w:t>
            </w:r>
          </w:p>
        </w:tc>
        <w:tc>
          <w:tcPr>
            <w:tcW w:w="1242" w:type="dxa"/>
            <w:tcBorders>
              <w:top w:val="nil"/>
              <w:left w:val="nil"/>
              <w:bottom w:val="single" w:sz="4" w:space="0" w:color="auto"/>
              <w:right w:val="single" w:sz="4" w:space="0" w:color="auto"/>
            </w:tcBorders>
            <w:shd w:val="clear" w:color="auto" w:fill="auto"/>
            <w:noWrap/>
            <w:vAlign w:val="bottom"/>
            <w:hideMark/>
          </w:tcPr>
          <w:p w14:paraId="5586560E"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29.796.189 </w:t>
            </w:r>
          </w:p>
        </w:tc>
        <w:tc>
          <w:tcPr>
            <w:tcW w:w="1242" w:type="dxa"/>
            <w:tcBorders>
              <w:top w:val="nil"/>
              <w:left w:val="nil"/>
              <w:bottom w:val="single" w:sz="4" w:space="0" w:color="auto"/>
              <w:right w:val="single" w:sz="4" w:space="0" w:color="auto"/>
            </w:tcBorders>
            <w:shd w:val="clear" w:color="auto" w:fill="auto"/>
            <w:noWrap/>
            <w:vAlign w:val="bottom"/>
            <w:hideMark/>
          </w:tcPr>
          <w:p w14:paraId="1DA032E0"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13.866.780 </w:t>
            </w:r>
          </w:p>
        </w:tc>
        <w:tc>
          <w:tcPr>
            <w:tcW w:w="1438" w:type="dxa"/>
            <w:tcBorders>
              <w:top w:val="nil"/>
              <w:left w:val="nil"/>
              <w:bottom w:val="single" w:sz="4" w:space="0" w:color="auto"/>
              <w:right w:val="single" w:sz="4" w:space="0" w:color="auto"/>
            </w:tcBorders>
            <w:shd w:val="clear" w:color="auto" w:fill="auto"/>
            <w:noWrap/>
            <w:vAlign w:val="bottom"/>
            <w:hideMark/>
          </w:tcPr>
          <w:p w14:paraId="25CC8269"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- 80.811.977 </w:t>
            </w:r>
          </w:p>
        </w:tc>
      </w:tr>
      <w:tr w:rsidR="00F70766" w:rsidRPr="00EC5A23" w14:paraId="77AA747F" w14:textId="77777777" w:rsidTr="00595C72">
        <w:trPr>
          <w:trHeight w:val="300"/>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559E7D80"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Mobilità internazionale attiva</w:t>
            </w:r>
          </w:p>
        </w:tc>
        <w:tc>
          <w:tcPr>
            <w:tcW w:w="1418" w:type="dxa"/>
            <w:tcBorders>
              <w:top w:val="nil"/>
              <w:left w:val="nil"/>
              <w:bottom w:val="single" w:sz="4" w:space="0" w:color="auto"/>
              <w:right w:val="single" w:sz="4" w:space="0" w:color="auto"/>
            </w:tcBorders>
            <w:shd w:val="clear" w:color="auto" w:fill="auto"/>
            <w:noWrap/>
            <w:vAlign w:val="bottom"/>
            <w:hideMark/>
          </w:tcPr>
          <w:p w14:paraId="3C417AC8"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89.192 </w:t>
            </w:r>
          </w:p>
        </w:tc>
        <w:tc>
          <w:tcPr>
            <w:tcW w:w="1574" w:type="dxa"/>
            <w:tcBorders>
              <w:top w:val="nil"/>
              <w:left w:val="nil"/>
              <w:bottom w:val="single" w:sz="4" w:space="0" w:color="auto"/>
              <w:right w:val="single" w:sz="4" w:space="0" w:color="auto"/>
            </w:tcBorders>
            <w:shd w:val="clear" w:color="auto" w:fill="auto"/>
            <w:noWrap/>
            <w:vAlign w:val="bottom"/>
            <w:hideMark/>
          </w:tcPr>
          <w:p w14:paraId="371017FC"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49.366 </w:t>
            </w:r>
          </w:p>
        </w:tc>
        <w:tc>
          <w:tcPr>
            <w:tcW w:w="1242" w:type="dxa"/>
            <w:tcBorders>
              <w:top w:val="nil"/>
              <w:left w:val="nil"/>
              <w:bottom w:val="single" w:sz="4" w:space="0" w:color="auto"/>
              <w:right w:val="single" w:sz="4" w:space="0" w:color="auto"/>
            </w:tcBorders>
            <w:shd w:val="clear" w:color="auto" w:fill="auto"/>
            <w:noWrap/>
            <w:vAlign w:val="bottom"/>
            <w:hideMark/>
          </w:tcPr>
          <w:p w14:paraId="7F74E367"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w:t>
            </w:r>
          </w:p>
        </w:tc>
        <w:tc>
          <w:tcPr>
            <w:tcW w:w="1242" w:type="dxa"/>
            <w:tcBorders>
              <w:top w:val="nil"/>
              <w:left w:val="nil"/>
              <w:bottom w:val="single" w:sz="4" w:space="0" w:color="auto"/>
              <w:right w:val="single" w:sz="4" w:space="0" w:color="auto"/>
            </w:tcBorders>
            <w:shd w:val="clear" w:color="auto" w:fill="auto"/>
            <w:noWrap/>
            <w:vAlign w:val="bottom"/>
            <w:hideMark/>
          </w:tcPr>
          <w:p w14:paraId="4244E3D9"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w:t>
            </w:r>
          </w:p>
        </w:tc>
        <w:tc>
          <w:tcPr>
            <w:tcW w:w="1438" w:type="dxa"/>
            <w:tcBorders>
              <w:top w:val="nil"/>
              <w:left w:val="nil"/>
              <w:bottom w:val="single" w:sz="4" w:space="0" w:color="auto"/>
              <w:right w:val="single" w:sz="4" w:space="0" w:color="auto"/>
            </w:tcBorders>
            <w:shd w:val="clear" w:color="auto" w:fill="auto"/>
            <w:noWrap/>
            <w:vAlign w:val="bottom"/>
            <w:hideMark/>
          </w:tcPr>
          <w:p w14:paraId="67E5D85E"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138.558 </w:t>
            </w:r>
          </w:p>
        </w:tc>
      </w:tr>
      <w:tr w:rsidR="00F70766" w:rsidRPr="00EC5A23" w14:paraId="0421D94E" w14:textId="77777777" w:rsidTr="00595C72">
        <w:trPr>
          <w:trHeight w:val="300"/>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614430FC"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Mobilità internazionale passiva</w:t>
            </w:r>
          </w:p>
        </w:tc>
        <w:tc>
          <w:tcPr>
            <w:tcW w:w="1418" w:type="dxa"/>
            <w:tcBorders>
              <w:top w:val="nil"/>
              <w:left w:val="nil"/>
              <w:bottom w:val="single" w:sz="4" w:space="0" w:color="auto"/>
              <w:right w:val="single" w:sz="4" w:space="0" w:color="auto"/>
            </w:tcBorders>
            <w:shd w:val="clear" w:color="auto" w:fill="auto"/>
            <w:noWrap/>
            <w:vAlign w:val="bottom"/>
            <w:hideMark/>
          </w:tcPr>
          <w:p w14:paraId="10180F56"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- 626.548 </w:t>
            </w:r>
          </w:p>
        </w:tc>
        <w:tc>
          <w:tcPr>
            <w:tcW w:w="1574" w:type="dxa"/>
            <w:tcBorders>
              <w:top w:val="nil"/>
              <w:left w:val="nil"/>
              <w:bottom w:val="single" w:sz="4" w:space="0" w:color="auto"/>
              <w:right w:val="single" w:sz="4" w:space="0" w:color="auto"/>
            </w:tcBorders>
            <w:shd w:val="clear" w:color="auto" w:fill="auto"/>
            <w:noWrap/>
            <w:vAlign w:val="bottom"/>
            <w:hideMark/>
          </w:tcPr>
          <w:p w14:paraId="06111D47"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- 346.778 </w:t>
            </w:r>
          </w:p>
        </w:tc>
        <w:tc>
          <w:tcPr>
            <w:tcW w:w="1242" w:type="dxa"/>
            <w:tcBorders>
              <w:top w:val="nil"/>
              <w:left w:val="nil"/>
              <w:bottom w:val="single" w:sz="4" w:space="0" w:color="auto"/>
              <w:right w:val="single" w:sz="4" w:space="0" w:color="auto"/>
            </w:tcBorders>
            <w:shd w:val="clear" w:color="auto" w:fill="auto"/>
            <w:noWrap/>
            <w:vAlign w:val="bottom"/>
            <w:hideMark/>
          </w:tcPr>
          <w:p w14:paraId="599CE7C3"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w:t>
            </w:r>
          </w:p>
        </w:tc>
        <w:tc>
          <w:tcPr>
            <w:tcW w:w="1242" w:type="dxa"/>
            <w:tcBorders>
              <w:top w:val="nil"/>
              <w:left w:val="nil"/>
              <w:bottom w:val="single" w:sz="4" w:space="0" w:color="auto"/>
              <w:right w:val="single" w:sz="4" w:space="0" w:color="auto"/>
            </w:tcBorders>
            <w:shd w:val="clear" w:color="auto" w:fill="auto"/>
            <w:noWrap/>
            <w:vAlign w:val="bottom"/>
            <w:hideMark/>
          </w:tcPr>
          <w:p w14:paraId="7373FBCE" w14:textId="77777777" w:rsidR="00F70766" w:rsidRPr="00EC5A23" w:rsidRDefault="00F70766" w:rsidP="001627A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w:t>
            </w:r>
          </w:p>
        </w:tc>
        <w:tc>
          <w:tcPr>
            <w:tcW w:w="1438" w:type="dxa"/>
            <w:tcBorders>
              <w:top w:val="nil"/>
              <w:left w:val="nil"/>
              <w:bottom w:val="single" w:sz="4" w:space="0" w:color="auto"/>
              <w:right w:val="single" w:sz="4" w:space="0" w:color="auto"/>
            </w:tcBorders>
            <w:shd w:val="clear" w:color="auto" w:fill="auto"/>
            <w:noWrap/>
            <w:vAlign w:val="bottom"/>
            <w:hideMark/>
          </w:tcPr>
          <w:p w14:paraId="438FF11E" w14:textId="77777777" w:rsidR="00F70766" w:rsidRPr="00EC5A23" w:rsidRDefault="00F70766" w:rsidP="00F70766">
            <w:pPr>
              <w:pStyle w:val="Paragrafoelenco"/>
              <w:numPr>
                <w:ilvl w:val="0"/>
                <w:numId w:val="33"/>
              </w:numPr>
              <w:spacing w:after="0" w:line="240" w:lineRule="auto"/>
              <w:ind w:left="67" w:hanging="76"/>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973.326 </w:t>
            </w:r>
          </w:p>
        </w:tc>
      </w:tr>
      <w:tr w:rsidR="00F70766" w:rsidRPr="00EC5A23" w14:paraId="0C39A192" w14:textId="77777777" w:rsidTr="00595C72">
        <w:trPr>
          <w:trHeight w:val="300"/>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14:paraId="219A2ACD" w14:textId="77777777" w:rsidR="00F70766" w:rsidRPr="00EC5A23" w:rsidRDefault="00F70766" w:rsidP="001627A4">
            <w:pPr>
              <w:spacing w:after="0" w:line="240" w:lineRule="auto"/>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Saldo Mobilità Internazionale</w:t>
            </w:r>
          </w:p>
        </w:tc>
        <w:tc>
          <w:tcPr>
            <w:tcW w:w="1418" w:type="dxa"/>
            <w:tcBorders>
              <w:top w:val="nil"/>
              <w:left w:val="nil"/>
              <w:bottom w:val="single" w:sz="4" w:space="0" w:color="auto"/>
              <w:right w:val="single" w:sz="4" w:space="0" w:color="auto"/>
            </w:tcBorders>
            <w:shd w:val="clear" w:color="auto" w:fill="auto"/>
            <w:noWrap/>
            <w:vAlign w:val="bottom"/>
            <w:hideMark/>
          </w:tcPr>
          <w:p w14:paraId="3268CD6B"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- 537.356 </w:t>
            </w:r>
          </w:p>
        </w:tc>
        <w:tc>
          <w:tcPr>
            <w:tcW w:w="1574" w:type="dxa"/>
            <w:tcBorders>
              <w:top w:val="nil"/>
              <w:left w:val="nil"/>
              <w:bottom w:val="single" w:sz="4" w:space="0" w:color="auto"/>
              <w:right w:val="single" w:sz="4" w:space="0" w:color="auto"/>
            </w:tcBorders>
            <w:shd w:val="clear" w:color="auto" w:fill="auto"/>
            <w:noWrap/>
            <w:vAlign w:val="bottom"/>
            <w:hideMark/>
          </w:tcPr>
          <w:p w14:paraId="799D5EA1"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- 297.412 </w:t>
            </w:r>
          </w:p>
        </w:tc>
        <w:tc>
          <w:tcPr>
            <w:tcW w:w="1242" w:type="dxa"/>
            <w:tcBorders>
              <w:top w:val="nil"/>
              <w:left w:val="nil"/>
              <w:bottom w:val="single" w:sz="4" w:space="0" w:color="auto"/>
              <w:right w:val="single" w:sz="4" w:space="0" w:color="auto"/>
            </w:tcBorders>
            <w:shd w:val="clear" w:color="auto" w:fill="auto"/>
            <w:noWrap/>
            <w:vAlign w:val="bottom"/>
            <w:hideMark/>
          </w:tcPr>
          <w:p w14:paraId="254441BF"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w:t>
            </w:r>
          </w:p>
        </w:tc>
        <w:tc>
          <w:tcPr>
            <w:tcW w:w="1242" w:type="dxa"/>
            <w:tcBorders>
              <w:top w:val="nil"/>
              <w:left w:val="nil"/>
              <w:bottom w:val="single" w:sz="4" w:space="0" w:color="auto"/>
              <w:right w:val="single" w:sz="4" w:space="0" w:color="auto"/>
            </w:tcBorders>
            <w:shd w:val="clear" w:color="auto" w:fill="auto"/>
            <w:noWrap/>
            <w:vAlign w:val="bottom"/>
            <w:hideMark/>
          </w:tcPr>
          <w:p w14:paraId="469B0E95"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w:t>
            </w:r>
          </w:p>
        </w:tc>
        <w:tc>
          <w:tcPr>
            <w:tcW w:w="1438" w:type="dxa"/>
            <w:tcBorders>
              <w:top w:val="nil"/>
              <w:left w:val="nil"/>
              <w:bottom w:val="single" w:sz="4" w:space="0" w:color="auto"/>
              <w:right w:val="single" w:sz="4" w:space="0" w:color="auto"/>
            </w:tcBorders>
            <w:shd w:val="clear" w:color="auto" w:fill="auto"/>
            <w:noWrap/>
            <w:vAlign w:val="bottom"/>
            <w:hideMark/>
          </w:tcPr>
          <w:p w14:paraId="458B4DEF"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- 834.768 </w:t>
            </w:r>
          </w:p>
        </w:tc>
      </w:tr>
      <w:tr w:rsidR="00F70766" w:rsidRPr="00EC5A23" w14:paraId="7D752693" w14:textId="77777777" w:rsidTr="00595C72">
        <w:trPr>
          <w:trHeight w:val="300"/>
        </w:trPr>
        <w:tc>
          <w:tcPr>
            <w:tcW w:w="2409" w:type="dxa"/>
            <w:tcBorders>
              <w:top w:val="nil"/>
              <w:left w:val="single" w:sz="4" w:space="0" w:color="auto"/>
              <w:bottom w:val="single" w:sz="4" w:space="0" w:color="auto"/>
              <w:right w:val="single" w:sz="4" w:space="0" w:color="auto"/>
            </w:tcBorders>
            <w:shd w:val="clear" w:color="000000" w:fill="FFFF00"/>
            <w:noWrap/>
            <w:vAlign w:val="bottom"/>
            <w:hideMark/>
          </w:tcPr>
          <w:p w14:paraId="19F8060E" w14:textId="77777777" w:rsidR="00F70766" w:rsidRPr="00EC5A23" w:rsidRDefault="00F70766" w:rsidP="001627A4">
            <w:pPr>
              <w:spacing w:after="0" w:line="240" w:lineRule="auto"/>
              <w:rPr>
                <w:rFonts w:ascii="Aptos" w:eastAsia="Times New Roman" w:hAnsi="Aptos" w:cs="Calibri"/>
                <w:b/>
                <w:bCs/>
                <w:color w:val="000000"/>
                <w:lang w:eastAsia="it-IT"/>
              </w:rPr>
            </w:pPr>
            <w:r w:rsidRPr="00EC5A23">
              <w:rPr>
                <w:rFonts w:ascii="Aptos" w:eastAsia="Times New Roman" w:hAnsi="Aptos" w:cs="Calibri"/>
                <w:b/>
                <w:bCs/>
                <w:color w:val="000000"/>
                <w:lang w:eastAsia="it-IT"/>
              </w:rPr>
              <w:t>Saldo Mobilità  2023</w:t>
            </w:r>
          </w:p>
        </w:tc>
        <w:tc>
          <w:tcPr>
            <w:tcW w:w="1418" w:type="dxa"/>
            <w:tcBorders>
              <w:top w:val="nil"/>
              <w:left w:val="nil"/>
              <w:bottom w:val="single" w:sz="4" w:space="0" w:color="auto"/>
              <w:right w:val="single" w:sz="4" w:space="0" w:color="auto"/>
            </w:tcBorders>
            <w:shd w:val="clear" w:color="000000" w:fill="FFFF00"/>
            <w:noWrap/>
            <w:vAlign w:val="bottom"/>
            <w:hideMark/>
          </w:tcPr>
          <w:p w14:paraId="5B0CFA69"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- 81.612.174 </w:t>
            </w:r>
          </w:p>
        </w:tc>
        <w:tc>
          <w:tcPr>
            <w:tcW w:w="1574" w:type="dxa"/>
            <w:tcBorders>
              <w:top w:val="nil"/>
              <w:left w:val="nil"/>
              <w:bottom w:val="single" w:sz="4" w:space="0" w:color="auto"/>
              <w:right w:val="single" w:sz="4" w:space="0" w:color="auto"/>
            </w:tcBorders>
            <w:shd w:val="clear" w:color="000000" w:fill="FFFF00"/>
            <w:noWrap/>
            <w:vAlign w:val="bottom"/>
            <w:hideMark/>
          </w:tcPr>
          <w:p w14:paraId="1BEF783F" w14:textId="3C4C9090" w:rsidR="00F70766" w:rsidRPr="00EC5A23" w:rsidRDefault="00DA6A12" w:rsidP="001627A4">
            <w:pPr>
              <w:spacing w:after="0" w:line="240" w:lineRule="auto"/>
              <w:jc w:val="right"/>
              <w:rPr>
                <w:rFonts w:ascii="Aptos" w:eastAsia="Times New Roman" w:hAnsi="Aptos" w:cs="Calibri"/>
                <w:b/>
                <w:bCs/>
                <w:color w:val="000000"/>
                <w:lang w:eastAsia="it-IT"/>
              </w:rPr>
            </w:pPr>
            <w:r>
              <w:rPr>
                <w:rFonts w:ascii="Aptos" w:eastAsia="Times New Roman" w:hAnsi="Aptos" w:cs="Calibri"/>
                <w:b/>
                <w:bCs/>
                <w:color w:val="000000"/>
                <w:lang w:eastAsia="it-IT"/>
              </w:rPr>
              <w:t>-</w:t>
            </w:r>
            <w:r w:rsidR="00F70766" w:rsidRPr="00EC5A23">
              <w:rPr>
                <w:rFonts w:ascii="Aptos" w:eastAsia="Times New Roman" w:hAnsi="Aptos" w:cs="Calibri"/>
                <w:b/>
                <w:bCs/>
                <w:color w:val="000000"/>
                <w:lang w:eastAsia="it-IT"/>
              </w:rPr>
              <w:t xml:space="preserve">43.697.540 </w:t>
            </w:r>
          </w:p>
        </w:tc>
        <w:tc>
          <w:tcPr>
            <w:tcW w:w="1242" w:type="dxa"/>
            <w:tcBorders>
              <w:top w:val="nil"/>
              <w:left w:val="nil"/>
              <w:bottom w:val="single" w:sz="4" w:space="0" w:color="auto"/>
              <w:right w:val="single" w:sz="4" w:space="0" w:color="auto"/>
            </w:tcBorders>
            <w:shd w:val="clear" w:color="000000" w:fill="FFFF00"/>
            <w:noWrap/>
            <w:vAlign w:val="bottom"/>
            <w:hideMark/>
          </w:tcPr>
          <w:p w14:paraId="4CE4C428"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29.796.189 </w:t>
            </w:r>
          </w:p>
        </w:tc>
        <w:tc>
          <w:tcPr>
            <w:tcW w:w="1242" w:type="dxa"/>
            <w:tcBorders>
              <w:top w:val="nil"/>
              <w:left w:val="nil"/>
              <w:bottom w:val="single" w:sz="4" w:space="0" w:color="auto"/>
              <w:right w:val="single" w:sz="4" w:space="0" w:color="auto"/>
            </w:tcBorders>
            <w:shd w:val="clear" w:color="000000" w:fill="FFFF00"/>
            <w:noWrap/>
            <w:vAlign w:val="bottom"/>
            <w:hideMark/>
          </w:tcPr>
          <w:p w14:paraId="7F460001" w14:textId="77777777" w:rsidR="00F70766" w:rsidRPr="00EC5A23" w:rsidRDefault="00F70766" w:rsidP="001627A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13.866.780 </w:t>
            </w:r>
          </w:p>
        </w:tc>
        <w:tc>
          <w:tcPr>
            <w:tcW w:w="1438" w:type="dxa"/>
            <w:tcBorders>
              <w:top w:val="nil"/>
              <w:left w:val="nil"/>
              <w:bottom w:val="single" w:sz="4" w:space="0" w:color="auto"/>
              <w:right w:val="single" w:sz="4" w:space="0" w:color="auto"/>
            </w:tcBorders>
            <w:shd w:val="clear" w:color="000000" w:fill="FFFF00"/>
            <w:noWrap/>
            <w:vAlign w:val="bottom"/>
            <w:hideMark/>
          </w:tcPr>
          <w:p w14:paraId="3B7B1F86" w14:textId="77777777" w:rsidR="00F70766" w:rsidRPr="00EC5A23" w:rsidRDefault="00F70766" w:rsidP="001627A4">
            <w:pPr>
              <w:spacing w:after="0" w:line="240" w:lineRule="auto"/>
              <w:jc w:val="right"/>
              <w:rPr>
                <w:rFonts w:ascii="Aptos" w:eastAsia="Times New Roman" w:hAnsi="Aptos" w:cs="Calibri"/>
                <w:b/>
                <w:bCs/>
                <w:color w:val="000000"/>
                <w:lang w:eastAsia="it-IT"/>
              </w:rPr>
            </w:pPr>
            <w:bookmarkStart w:id="1" w:name="_Hlk190533939"/>
            <w:r w:rsidRPr="00EC5A23">
              <w:rPr>
                <w:rFonts w:ascii="Aptos" w:eastAsia="Times New Roman" w:hAnsi="Aptos" w:cs="Calibri"/>
                <w:b/>
                <w:bCs/>
                <w:color w:val="000000"/>
                <w:lang w:eastAsia="it-IT"/>
              </w:rPr>
              <w:t xml:space="preserve">- 81.646.745 </w:t>
            </w:r>
            <w:bookmarkEnd w:id="1"/>
          </w:p>
        </w:tc>
      </w:tr>
    </w:tbl>
    <w:p w14:paraId="1255DFDF" w14:textId="77777777" w:rsidR="00F70766" w:rsidRPr="00EC5A23" w:rsidRDefault="00F70766" w:rsidP="00F70766">
      <w:pPr>
        <w:spacing w:after="0" w:line="240" w:lineRule="auto"/>
        <w:rPr>
          <w:rFonts w:ascii="Aptos" w:hAnsi="Aptos"/>
        </w:rPr>
      </w:pPr>
      <w:r w:rsidRPr="00EC5A23">
        <w:rPr>
          <w:rFonts w:ascii="Aptos" w:hAnsi="Aptos"/>
        </w:rPr>
        <w:tab/>
      </w:r>
    </w:p>
    <w:p w14:paraId="564BD0E4" w14:textId="77777777" w:rsidR="00F5789F" w:rsidRDefault="00F5789F" w:rsidP="00595C72">
      <w:pPr>
        <w:jc w:val="both"/>
        <w:rPr>
          <w:b/>
          <w:bCs/>
          <w:u w:val="single"/>
        </w:rPr>
      </w:pPr>
    </w:p>
    <w:p w14:paraId="37EB6736" w14:textId="77777777" w:rsidR="00F5789F" w:rsidRDefault="00F5789F" w:rsidP="00595C72">
      <w:pPr>
        <w:jc w:val="both"/>
        <w:rPr>
          <w:b/>
          <w:bCs/>
          <w:u w:val="single"/>
        </w:rPr>
      </w:pPr>
    </w:p>
    <w:p w14:paraId="286CD921" w14:textId="7A01F39A" w:rsidR="00595C72" w:rsidRPr="002854FB" w:rsidRDefault="00595C72" w:rsidP="00595C72">
      <w:pPr>
        <w:jc w:val="both"/>
        <w:rPr>
          <w:b/>
          <w:bCs/>
          <w:u w:val="single"/>
        </w:rPr>
      </w:pPr>
      <w:r w:rsidRPr="002854FB">
        <w:rPr>
          <w:b/>
          <w:bCs/>
          <w:u w:val="single"/>
        </w:rPr>
        <w:t>MOBILITA’ SANITARIA</w:t>
      </w:r>
    </w:p>
    <w:p w14:paraId="72D28B18" w14:textId="77777777" w:rsidR="00595C72" w:rsidRDefault="00595C72" w:rsidP="00595C72">
      <w:pPr>
        <w:jc w:val="both"/>
      </w:pPr>
      <w:r>
        <w:t>La Regione Basilicata relativamente alla mobilità sanitaria, rispetto a tutte le altre regioni si colloca in una fascia intermedia, in quanto la mobilità passiva è sì crescente, ma è in parte compensata da una non trascurabile mobilità attiva verso le strutture sanitarie regionali.</w:t>
      </w:r>
    </w:p>
    <w:p w14:paraId="122F1C32" w14:textId="77777777" w:rsidR="00595C72" w:rsidRDefault="00595C72" w:rsidP="00595C72">
      <w:pPr>
        <w:jc w:val="both"/>
      </w:pPr>
      <w:r w:rsidRPr="00F712E1">
        <w:rPr>
          <w:b/>
          <w:bCs/>
        </w:rPr>
        <w:t>I dati di mobilità attiva mostrano un saldo positivo e crescente negli ultimi tre anni</w:t>
      </w:r>
      <w:r>
        <w:t xml:space="preserve"> (non residenti che scelgono di curarsi in Basilicata, </w:t>
      </w:r>
      <w:r w:rsidRPr="00F712E1">
        <w:rPr>
          <w:b/>
          <w:bCs/>
          <w:u w:val="single"/>
        </w:rPr>
        <w:t>prevalentemente nella provincia di Potenza con provenienza maggiore dalla Campania)</w:t>
      </w:r>
      <w:r>
        <w:t>.</w:t>
      </w:r>
    </w:p>
    <w:p w14:paraId="34596309" w14:textId="77777777" w:rsidR="00595C72" w:rsidRPr="00F712E1" w:rsidRDefault="00595C72" w:rsidP="00595C72">
      <w:pPr>
        <w:jc w:val="center"/>
      </w:pPr>
      <w:r w:rsidRPr="00F712E1">
        <w:t>SOLO REGIONE CAMPANIA</w:t>
      </w:r>
    </w:p>
    <w:tbl>
      <w:tblPr>
        <w:tblW w:w="6359" w:type="dxa"/>
        <w:tblInd w:w="1646" w:type="dxa"/>
        <w:tblCellMar>
          <w:left w:w="0" w:type="dxa"/>
          <w:right w:w="0" w:type="dxa"/>
        </w:tblCellMar>
        <w:tblLook w:val="04A0" w:firstRow="1" w:lastRow="0" w:firstColumn="1" w:lastColumn="0" w:noHBand="0" w:noVBand="1"/>
      </w:tblPr>
      <w:tblGrid>
        <w:gridCol w:w="960"/>
        <w:gridCol w:w="1847"/>
        <w:gridCol w:w="1847"/>
        <w:gridCol w:w="1705"/>
      </w:tblGrid>
      <w:tr w:rsidR="00595C72" w:rsidRPr="00F712E1" w14:paraId="1B16E72D" w14:textId="77777777" w:rsidTr="008B7EB8">
        <w:trPr>
          <w:trHeight w:val="288"/>
        </w:trPr>
        <w:tc>
          <w:tcPr>
            <w:tcW w:w="960" w:type="dxa"/>
            <w:tcBorders>
              <w:top w:val="nil"/>
              <w:left w:val="nil"/>
              <w:bottom w:val="single" w:sz="12" w:space="0" w:color="8EAADB"/>
              <w:right w:val="nil"/>
            </w:tcBorders>
            <w:shd w:val="clear" w:color="auto" w:fill="FFFFFF"/>
            <w:noWrap/>
            <w:tcMar>
              <w:top w:w="0" w:type="dxa"/>
              <w:left w:w="108" w:type="dxa"/>
              <w:bottom w:w="0" w:type="dxa"/>
              <w:right w:w="108" w:type="dxa"/>
            </w:tcMar>
            <w:hideMark/>
          </w:tcPr>
          <w:p w14:paraId="643924F0" w14:textId="77777777" w:rsidR="00595C72" w:rsidRPr="00F712E1" w:rsidRDefault="00595C72" w:rsidP="008B7EB8">
            <w:pPr>
              <w:jc w:val="center"/>
            </w:pPr>
            <w:r w:rsidRPr="00F712E1">
              <w:t>anno</w:t>
            </w:r>
          </w:p>
        </w:tc>
        <w:tc>
          <w:tcPr>
            <w:tcW w:w="1847" w:type="dxa"/>
            <w:tcBorders>
              <w:top w:val="nil"/>
              <w:left w:val="nil"/>
              <w:bottom w:val="single" w:sz="12" w:space="0" w:color="8EAADB"/>
              <w:right w:val="nil"/>
            </w:tcBorders>
            <w:shd w:val="clear" w:color="auto" w:fill="FFFFFF"/>
            <w:noWrap/>
            <w:tcMar>
              <w:top w:w="0" w:type="dxa"/>
              <w:left w:w="108" w:type="dxa"/>
              <w:bottom w:w="0" w:type="dxa"/>
              <w:right w:w="108" w:type="dxa"/>
            </w:tcMar>
            <w:hideMark/>
          </w:tcPr>
          <w:p w14:paraId="7F4AEEC3" w14:textId="77777777" w:rsidR="00595C72" w:rsidRPr="00F712E1" w:rsidRDefault="00595C72" w:rsidP="008B7EB8">
            <w:pPr>
              <w:jc w:val="center"/>
            </w:pPr>
            <w:r w:rsidRPr="00F712E1">
              <w:t>attiva</w:t>
            </w:r>
          </w:p>
        </w:tc>
        <w:tc>
          <w:tcPr>
            <w:tcW w:w="1847" w:type="dxa"/>
            <w:tcBorders>
              <w:top w:val="nil"/>
              <w:left w:val="nil"/>
              <w:bottom w:val="single" w:sz="12" w:space="0" w:color="8EAADB"/>
              <w:right w:val="nil"/>
            </w:tcBorders>
            <w:shd w:val="clear" w:color="auto" w:fill="FFFFFF"/>
            <w:noWrap/>
            <w:tcMar>
              <w:top w:w="0" w:type="dxa"/>
              <w:left w:w="108" w:type="dxa"/>
              <w:bottom w:w="0" w:type="dxa"/>
              <w:right w:w="108" w:type="dxa"/>
            </w:tcMar>
            <w:hideMark/>
          </w:tcPr>
          <w:p w14:paraId="78B6BE66" w14:textId="77777777" w:rsidR="00595C72" w:rsidRPr="00F712E1" w:rsidRDefault="00595C72" w:rsidP="008B7EB8">
            <w:pPr>
              <w:jc w:val="center"/>
            </w:pPr>
            <w:r w:rsidRPr="00F712E1">
              <w:t>passiva</w:t>
            </w:r>
          </w:p>
        </w:tc>
        <w:tc>
          <w:tcPr>
            <w:tcW w:w="1705" w:type="dxa"/>
            <w:tcBorders>
              <w:top w:val="nil"/>
              <w:left w:val="nil"/>
              <w:bottom w:val="single" w:sz="12" w:space="0" w:color="8EAADB"/>
              <w:right w:val="nil"/>
            </w:tcBorders>
            <w:shd w:val="clear" w:color="auto" w:fill="FFFFFF"/>
            <w:noWrap/>
            <w:tcMar>
              <w:top w:w="0" w:type="dxa"/>
              <w:left w:w="108" w:type="dxa"/>
              <w:bottom w:w="0" w:type="dxa"/>
              <w:right w:w="108" w:type="dxa"/>
            </w:tcMar>
            <w:hideMark/>
          </w:tcPr>
          <w:p w14:paraId="15B35029" w14:textId="77777777" w:rsidR="00595C72" w:rsidRPr="00F712E1" w:rsidRDefault="00595C72" w:rsidP="008B7EB8">
            <w:pPr>
              <w:jc w:val="center"/>
            </w:pPr>
            <w:r w:rsidRPr="00F712E1">
              <w:t>saldo</w:t>
            </w:r>
          </w:p>
        </w:tc>
      </w:tr>
      <w:tr w:rsidR="00595C72" w:rsidRPr="00F712E1" w14:paraId="4D64AA73" w14:textId="77777777" w:rsidTr="008B7EB8">
        <w:trPr>
          <w:trHeight w:val="288"/>
        </w:trPr>
        <w:tc>
          <w:tcPr>
            <w:tcW w:w="960"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58AF5840" w14:textId="77777777" w:rsidR="00595C72" w:rsidRPr="00F712E1" w:rsidRDefault="00595C72" w:rsidP="008B7EB8">
            <w:pPr>
              <w:jc w:val="center"/>
              <w:rPr>
                <w:b/>
              </w:rPr>
            </w:pPr>
            <w:r w:rsidRPr="00F712E1">
              <w:rPr>
                <w:b/>
              </w:rPr>
              <w:t>2023</w:t>
            </w:r>
          </w:p>
        </w:tc>
        <w:tc>
          <w:tcPr>
            <w:tcW w:w="1847"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59D98436" w14:textId="77777777" w:rsidR="00595C72" w:rsidRPr="00F712E1" w:rsidRDefault="00595C72" w:rsidP="008B7EB8">
            <w:pPr>
              <w:jc w:val="center"/>
              <w:rPr>
                <w:b/>
              </w:rPr>
            </w:pPr>
            <w:r w:rsidRPr="00F712E1">
              <w:rPr>
                <w:b/>
              </w:rPr>
              <w:t>23.180.353,38</w:t>
            </w:r>
          </w:p>
        </w:tc>
        <w:tc>
          <w:tcPr>
            <w:tcW w:w="1847"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08B1FA37" w14:textId="77777777" w:rsidR="00595C72" w:rsidRPr="00F712E1" w:rsidRDefault="00595C72" w:rsidP="008B7EB8">
            <w:pPr>
              <w:jc w:val="center"/>
              <w:rPr>
                <w:b/>
              </w:rPr>
            </w:pPr>
            <w:r w:rsidRPr="00F712E1">
              <w:rPr>
                <w:b/>
              </w:rPr>
              <w:t>16.701.199,14</w:t>
            </w:r>
          </w:p>
        </w:tc>
        <w:tc>
          <w:tcPr>
            <w:tcW w:w="1705" w:type="dxa"/>
            <w:tcBorders>
              <w:top w:val="nil"/>
              <w:left w:val="nil"/>
              <w:bottom w:val="single" w:sz="8" w:space="0" w:color="8EAADB"/>
              <w:right w:val="nil"/>
            </w:tcBorders>
            <w:shd w:val="clear" w:color="auto" w:fill="D9E2F3"/>
            <w:noWrap/>
            <w:tcMar>
              <w:top w:w="0" w:type="dxa"/>
              <w:left w:w="108" w:type="dxa"/>
              <w:bottom w:w="0" w:type="dxa"/>
              <w:right w:w="108" w:type="dxa"/>
            </w:tcMar>
            <w:hideMark/>
          </w:tcPr>
          <w:p w14:paraId="2ED8C75B" w14:textId="77777777" w:rsidR="00595C72" w:rsidRPr="00F712E1" w:rsidRDefault="00595C72" w:rsidP="008B7EB8">
            <w:pPr>
              <w:jc w:val="center"/>
              <w:rPr>
                <w:b/>
              </w:rPr>
            </w:pPr>
            <w:r w:rsidRPr="00F712E1">
              <w:rPr>
                <w:b/>
              </w:rPr>
              <w:t>6.479.154,24</w:t>
            </w:r>
          </w:p>
        </w:tc>
      </w:tr>
      <w:tr w:rsidR="00595C72" w:rsidRPr="00F712E1" w14:paraId="25CD36B4" w14:textId="77777777" w:rsidTr="008B7EB8">
        <w:trPr>
          <w:trHeight w:val="288"/>
        </w:trPr>
        <w:tc>
          <w:tcPr>
            <w:tcW w:w="960"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29EBE70E" w14:textId="77777777" w:rsidR="00595C72" w:rsidRPr="00F712E1" w:rsidRDefault="00595C72" w:rsidP="008B7EB8">
            <w:pPr>
              <w:jc w:val="center"/>
            </w:pPr>
            <w:r w:rsidRPr="00F712E1">
              <w:t>2022</w:t>
            </w:r>
          </w:p>
        </w:tc>
        <w:tc>
          <w:tcPr>
            <w:tcW w:w="1847"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5A0BBF6E" w14:textId="77777777" w:rsidR="00595C72" w:rsidRPr="00F712E1" w:rsidRDefault="00595C72" w:rsidP="008B7EB8">
            <w:pPr>
              <w:jc w:val="center"/>
            </w:pPr>
            <w:r w:rsidRPr="00F712E1">
              <w:t>21.352.236,30</w:t>
            </w:r>
          </w:p>
        </w:tc>
        <w:tc>
          <w:tcPr>
            <w:tcW w:w="1847"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0FBBB369" w14:textId="77777777" w:rsidR="00595C72" w:rsidRPr="00F712E1" w:rsidRDefault="00595C72" w:rsidP="008B7EB8">
            <w:pPr>
              <w:jc w:val="center"/>
            </w:pPr>
            <w:r w:rsidRPr="00F712E1">
              <w:t>16.100.974,77</w:t>
            </w:r>
          </w:p>
        </w:tc>
        <w:tc>
          <w:tcPr>
            <w:tcW w:w="1705" w:type="dxa"/>
            <w:tcBorders>
              <w:top w:val="nil"/>
              <w:left w:val="nil"/>
              <w:bottom w:val="single" w:sz="8" w:space="0" w:color="8EAADB"/>
              <w:right w:val="nil"/>
            </w:tcBorders>
            <w:noWrap/>
            <w:tcMar>
              <w:top w:w="0" w:type="dxa"/>
              <w:left w:w="108" w:type="dxa"/>
              <w:bottom w:w="0" w:type="dxa"/>
              <w:right w:w="108" w:type="dxa"/>
            </w:tcMar>
            <w:hideMark/>
          </w:tcPr>
          <w:p w14:paraId="2EDE6B75" w14:textId="77777777" w:rsidR="00595C72" w:rsidRPr="00F712E1" w:rsidRDefault="00595C72" w:rsidP="008B7EB8">
            <w:pPr>
              <w:jc w:val="center"/>
            </w:pPr>
            <w:r w:rsidRPr="00F712E1">
              <w:t>5.251.261,53</w:t>
            </w:r>
          </w:p>
        </w:tc>
      </w:tr>
      <w:tr w:rsidR="00595C72" w:rsidRPr="00F712E1" w14:paraId="3174F6C3" w14:textId="77777777" w:rsidTr="008B7EB8">
        <w:trPr>
          <w:trHeight w:val="288"/>
        </w:trPr>
        <w:tc>
          <w:tcPr>
            <w:tcW w:w="960"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4CB87101" w14:textId="77777777" w:rsidR="00595C72" w:rsidRPr="00F712E1" w:rsidRDefault="00595C72" w:rsidP="008B7EB8">
            <w:pPr>
              <w:jc w:val="center"/>
            </w:pPr>
            <w:r w:rsidRPr="00F712E1">
              <w:t>2021</w:t>
            </w:r>
          </w:p>
        </w:tc>
        <w:tc>
          <w:tcPr>
            <w:tcW w:w="1847"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5AD4167E" w14:textId="77777777" w:rsidR="00595C72" w:rsidRPr="00F712E1" w:rsidRDefault="00595C72" w:rsidP="008B7EB8">
            <w:pPr>
              <w:jc w:val="center"/>
            </w:pPr>
            <w:r w:rsidRPr="00F712E1">
              <w:t>20.498.723,94</w:t>
            </w:r>
          </w:p>
        </w:tc>
        <w:tc>
          <w:tcPr>
            <w:tcW w:w="1847"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156FC587" w14:textId="77777777" w:rsidR="00595C72" w:rsidRPr="00F712E1" w:rsidRDefault="00595C72" w:rsidP="008B7EB8">
            <w:pPr>
              <w:jc w:val="center"/>
            </w:pPr>
            <w:r w:rsidRPr="00F712E1">
              <w:t>15.524.586,02</w:t>
            </w:r>
          </w:p>
        </w:tc>
        <w:tc>
          <w:tcPr>
            <w:tcW w:w="1705" w:type="dxa"/>
            <w:tcBorders>
              <w:top w:val="nil"/>
              <w:left w:val="nil"/>
              <w:bottom w:val="single" w:sz="8" w:space="0" w:color="8EAADB"/>
              <w:right w:val="nil"/>
            </w:tcBorders>
            <w:shd w:val="clear" w:color="auto" w:fill="D9E2F3"/>
            <w:noWrap/>
            <w:tcMar>
              <w:top w:w="0" w:type="dxa"/>
              <w:left w:w="108" w:type="dxa"/>
              <w:bottom w:w="0" w:type="dxa"/>
              <w:right w:w="108" w:type="dxa"/>
            </w:tcMar>
            <w:hideMark/>
          </w:tcPr>
          <w:p w14:paraId="7BF99924" w14:textId="77777777" w:rsidR="00595C72" w:rsidRPr="00F712E1" w:rsidRDefault="00595C72" w:rsidP="008B7EB8">
            <w:pPr>
              <w:jc w:val="center"/>
            </w:pPr>
            <w:r w:rsidRPr="00F712E1">
              <w:t>4.974.137,92</w:t>
            </w:r>
          </w:p>
        </w:tc>
      </w:tr>
    </w:tbl>
    <w:p w14:paraId="6F2B53E7" w14:textId="77777777" w:rsidR="00595C72" w:rsidRPr="00F712E1" w:rsidRDefault="00595C72" w:rsidP="00595C72">
      <w:pPr>
        <w:jc w:val="center"/>
      </w:pPr>
    </w:p>
    <w:p w14:paraId="6C3EC68B" w14:textId="77777777" w:rsidR="00595C72" w:rsidRPr="00C56149" w:rsidRDefault="00595C72" w:rsidP="00595C72">
      <w:r w:rsidRPr="00E0282B">
        <w:rPr>
          <w:b/>
        </w:rPr>
        <w:t>Di contro è innegabile un aumento della mobilità passiva</w:t>
      </w:r>
      <w:r w:rsidRPr="00C56149">
        <w:t xml:space="preserve"> che ha comportato la chiusura dell’anno 2023 con i seguenti importi</w:t>
      </w:r>
      <w:r>
        <w:t>.</w:t>
      </w:r>
      <w:r w:rsidRPr="00C56149">
        <w:t xml:space="preserve"> </w:t>
      </w:r>
    </w:p>
    <w:p w14:paraId="3F53A5A0" w14:textId="77777777" w:rsidR="00595C72" w:rsidRDefault="00595C72" w:rsidP="00595C72">
      <w:pPr>
        <w:jc w:val="center"/>
      </w:pPr>
      <w:r w:rsidRPr="006B65FE">
        <w:rPr>
          <w:noProof/>
          <w:lang w:eastAsia="it-IT"/>
        </w:rPr>
        <w:drawing>
          <wp:inline distT="0" distB="0" distL="0" distR="0" wp14:anchorId="03B6544D" wp14:editId="04CCC1D4">
            <wp:extent cx="3943350" cy="1469310"/>
            <wp:effectExtent l="0" t="0" r="0" b="0"/>
            <wp:docPr id="12206208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7919" cy="1489643"/>
                    </a:xfrm>
                    <a:prstGeom prst="rect">
                      <a:avLst/>
                    </a:prstGeom>
                    <a:noFill/>
                    <a:ln>
                      <a:noFill/>
                    </a:ln>
                  </pic:spPr>
                </pic:pic>
              </a:graphicData>
            </a:graphic>
          </wp:inline>
        </w:drawing>
      </w:r>
    </w:p>
    <w:p w14:paraId="0705D0F5" w14:textId="77777777" w:rsidR="00595C72" w:rsidRDefault="00595C72" w:rsidP="00595C72">
      <w:pPr>
        <w:jc w:val="both"/>
      </w:pPr>
      <w:r>
        <w:t xml:space="preserve">La cifra riportata in tabella è il saldo netto della mobilità, mentre quello lordo, comprensivo di altri addebiti è pari a </w:t>
      </w:r>
      <w:r w:rsidRPr="00503D46">
        <w:rPr>
          <w:b/>
        </w:rPr>
        <w:t>- 81.646.745</w:t>
      </w:r>
      <w:r>
        <w:t xml:space="preserve"> (cfr. paragrafo parte finanziaria).</w:t>
      </w:r>
    </w:p>
    <w:p w14:paraId="052DF4B7" w14:textId="77777777" w:rsidR="00595C72" w:rsidRDefault="00595C72" w:rsidP="00595C72">
      <w:pPr>
        <w:jc w:val="both"/>
      </w:pPr>
      <w:r w:rsidRPr="000E2B08">
        <w:t>La mobilità passiva non v</w:t>
      </w:r>
      <w:r>
        <w:t>a, però,</w:t>
      </w:r>
      <w:r w:rsidRPr="000E2B08">
        <w:t xml:space="preserve"> considerata sempre un fenomeno </w:t>
      </w:r>
      <w:r>
        <w:t xml:space="preserve">puramente </w:t>
      </w:r>
      <w:r w:rsidRPr="000E2B08">
        <w:t>negativo</w:t>
      </w:r>
      <w:r>
        <w:t>,</w:t>
      </w:r>
      <w:r w:rsidRPr="000E2B08">
        <w:t xml:space="preserve"> </w:t>
      </w:r>
      <w:r>
        <w:t xml:space="preserve">ma </w:t>
      </w:r>
      <w:r w:rsidRPr="000E2B08">
        <w:t>talvolta è dovuta a circostanze fisiologiche</w:t>
      </w:r>
      <w:r>
        <w:t>,</w:t>
      </w:r>
      <w:r w:rsidRPr="000E2B08">
        <w:t xml:space="preserve"> considerato il fatto che la distanza tra la propria abitazione di confine e l'ospedale della </w:t>
      </w:r>
      <w:r>
        <w:t>regione</w:t>
      </w:r>
      <w:r w:rsidRPr="000E2B08">
        <w:t xml:space="preserve"> </w:t>
      </w:r>
      <w:r>
        <w:t>limitrofa,</w:t>
      </w:r>
      <w:r w:rsidRPr="000E2B08">
        <w:t xml:space="preserve"> </w:t>
      </w:r>
      <w:r>
        <w:t>può essere</w:t>
      </w:r>
      <w:r w:rsidRPr="000E2B08">
        <w:t xml:space="preserve"> inferiore rispetto all'ospedale del proprio territorio regionale. </w:t>
      </w:r>
    </w:p>
    <w:p w14:paraId="4F11BC50" w14:textId="77777777" w:rsidR="00595C72" w:rsidRDefault="00595C72" w:rsidP="00595C72">
      <w:pPr>
        <w:jc w:val="both"/>
      </w:pPr>
      <w:r>
        <w:t>Ciò è confermato anche dal dato che si registra di mobilità passiva verso la regione Puglia di</w:t>
      </w:r>
      <w:r w:rsidRPr="009A760D">
        <w:rPr>
          <w:color w:val="FF0000"/>
        </w:rPr>
        <w:t xml:space="preserve"> </w:t>
      </w:r>
      <w:r>
        <w:rPr>
          <w:b/>
          <w:u w:val="single"/>
        </w:rPr>
        <w:t>€ 46.508.155</w:t>
      </w:r>
      <w:r>
        <w:rPr>
          <w:u w:val="single"/>
        </w:rPr>
        <w:t xml:space="preserve"> </w:t>
      </w:r>
      <w:r>
        <w:t xml:space="preserve">di cui </w:t>
      </w:r>
      <w:r w:rsidRPr="00503D46">
        <w:rPr>
          <w:b/>
        </w:rPr>
        <w:t>18.831309,26</w:t>
      </w:r>
      <w:r>
        <w:t xml:space="preserve"> € dei ricoveri effettuati in mobilità passiva verso il privato e che </w:t>
      </w:r>
      <w:r w:rsidRPr="00503D46">
        <w:rPr>
          <w:b/>
        </w:rPr>
        <w:t xml:space="preserve">l’Ospedale Miulli di Acquaviva delle Fonti </w:t>
      </w:r>
      <w:r>
        <w:t xml:space="preserve">(BA) è la struttura privata verso cui avvengono il maggior numero di ricoveri, ordinari ed in DH, per un importo di </w:t>
      </w:r>
      <w:r w:rsidRPr="00503D46">
        <w:rPr>
          <w:b/>
        </w:rPr>
        <w:t>oltre 5,5 Mln</w:t>
      </w:r>
      <w:r>
        <w:t xml:space="preserve"> di euro.</w:t>
      </w:r>
    </w:p>
    <w:p w14:paraId="76722CDD" w14:textId="77777777" w:rsidR="00595C72" w:rsidRPr="00503D46" w:rsidRDefault="00595C72" w:rsidP="00595C72">
      <w:pPr>
        <w:jc w:val="both"/>
      </w:pPr>
      <w:proofErr w:type="gramStart"/>
      <w:r>
        <w:t>E’</w:t>
      </w:r>
      <w:proofErr w:type="gramEnd"/>
      <w:r>
        <w:t xml:space="preserve"> opportuno ricordare la presenza di un alto tasso di </w:t>
      </w:r>
      <w:proofErr w:type="spellStart"/>
      <w:r>
        <w:t>inapropriatezza</w:t>
      </w:r>
      <w:proofErr w:type="spellEnd"/>
      <w:r>
        <w:t xml:space="preserve"> delle prestazioni prevalentemente con ingresso dal pronto soccorso che inevitabilmente diventano oggetto di contestazione in fase di definizione del saldo definitivo della mobilitazioni interregionale.</w:t>
      </w:r>
    </w:p>
    <w:p w14:paraId="15301864" w14:textId="77777777" w:rsidR="00595C72" w:rsidRDefault="00595C72" w:rsidP="00595C72">
      <w:pPr>
        <w:jc w:val="both"/>
      </w:pPr>
      <w:r>
        <w:t xml:space="preserve">Quando la mobilità rappresenta, invece, la reazione ad un sistema regionale in cui l’offerta è carente o non è adeguata, tale situazione è spesso dovuta a problemi organizzativi e alle liste d’attesa, ed è necessario, in tali casi, intervenire con attività tese a migliorare l’assistenza sanitaria anche attraverso altre azioni. </w:t>
      </w:r>
    </w:p>
    <w:p w14:paraId="712482C6" w14:textId="77777777" w:rsidR="00595C72" w:rsidRPr="00E0282B" w:rsidRDefault="00595C72" w:rsidP="00595C72">
      <w:pPr>
        <w:jc w:val="both"/>
        <w:rPr>
          <w:b/>
        </w:rPr>
      </w:pPr>
      <w:r w:rsidRPr="00E0282B">
        <w:rPr>
          <w:b/>
        </w:rPr>
        <w:lastRenderedPageBreak/>
        <w:t xml:space="preserve">In </w:t>
      </w:r>
      <w:r>
        <w:rPr>
          <w:b/>
        </w:rPr>
        <w:t>R</w:t>
      </w:r>
      <w:r w:rsidRPr="00E0282B">
        <w:rPr>
          <w:b/>
        </w:rPr>
        <w:t>egione Basilicata ha certamente influito la storica carenza di personale medico e d</w:t>
      </w:r>
      <w:r>
        <w:rPr>
          <w:b/>
        </w:rPr>
        <w:t>el</w:t>
      </w:r>
      <w:r w:rsidRPr="00E0282B">
        <w:rPr>
          <w:b/>
        </w:rPr>
        <w:t xml:space="preserve"> comparto sanitario che si è registrata presso l’Ospedale di Matera. </w:t>
      </w:r>
    </w:p>
    <w:p w14:paraId="20B9ECF4" w14:textId="77777777" w:rsidR="00595C72" w:rsidRDefault="00595C72" w:rsidP="00595C72">
      <w:pPr>
        <w:jc w:val="both"/>
      </w:pPr>
      <w:r>
        <w:t>Ma u</w:t>
      </w:r>
      <w:r w:rsidRPr="002F5D3A">
        <w:t>na risposta</w:t>
      </w:r>
      <w:r>
        <w:t xml:space="preserve"> per la Regione è arrivata a fine 2024 </w:t>
      </w:r>
      <w:r w:rsidRPr="002F5D3A">
        <w:t xml:space="preserve">dall'approvazione dei piani aziendali </w:t>
      </w:r>
      <w:r>
        <w:t>non solo del territorio di Matera ma anche delle restanti Aziende sanitarie</w:t>
      </w:r>
      <w:r w:rsidRPr="002F5D3A">
        <w:t xml:space="preserve"> Asp, San Carlo e </w:t>
      </w:r>
      <w:proofErr w:type="spellStart"/>
      <w:r w:rsidRPr="002F5D3A">
        <w:t>Crob</w:t>
      </w:r>
      <w:proofErr w:type="spellEnd"/>
      <w:r>
        <w:t>.</w:t>
      </w:r>
    </w:p>
    <w:p w14:paraId="17C40C68" w14:textId="77777777" w:rsidR="00595C72" w:rsidRDefault="00595C72" w:rsidP="00595C72">
      <w:pPr>
        <w:jc w:val="both"/>
      </w:pPr>
      <w:r>
        <w:t>Per affrontare il problema che</w:t>
      </w:r>
      <w:r>
        <w:rPr>
          <w:rFonts w:ascii="Arial" w:hAnsi="Arial" w:cs="Arial"/>
          <w:color w:val="525252"/>
          <w:shd w:val="clear" w:color="auto" w:fill="FFFFFF"/>
        </w:rPr>
        <w:t xml:space="preserve"> </w:t>
      </w:r>
      <w:r w:rsidRPr="00FC6FDD">
        <w:t xml:space="preserve">impatta sulla qualità e sulla tempistica del servizio offerto è stata prevista nel complesso, l’assunzione di </w:t>
      </w:r>
      <w:r>
        <w:t xml:space="preserve">circa </w:t>
      </w:r>
      <w:r w:rsidRPr="00503D46">
        <w:rPr>
          <w:b/>
        </w:rPr>
        <w:t>1400 unità tra medici, infermieri e personale amministrativo</w:t>
      </w:r>
      <w:r w:rsidRPr="00FC6FDD">
        <w:t>,</w:t>
      </w:r>
      <w:r>
        <w:t xml:space="preserve"> oltre ai finanziamenti PNRR che </w:t>
      </w:r>
      <w:r w:rsidRPr="00FC6FDD">
        <w:t>consentiranno di migliorare l</w:t>
      </w:r>
      <w:r>
        <w:t>e</w:t>
      </w:r>
      <w:r w:rsidRPr="00FC6FDD">
        <w:t xml:space="preserve"> dotazion</w:t>
      </w:r>
      <w:r>
        <w:t>i</w:t>
      </w:r>
      <w:r w:rsidRPr="00FC6FDD">
        <w:t xml:space="preserve"> </w:t>
      </w:r>
      <w:r>
        <w:t>tecnologiche e</w:t>
      </w:r>
      <w:r w:rsidRPr="00FC6FDD">
        <w:t xml:space="preserve"> infrastruttur</w:t>
      </w:r>
      <w:r>
        <w:t>ali</w:t>
      </w:r>
      <w:r w:rsidRPr="00FC6FDD">
        <w:t>.</w:t>
      </w:r>
    </w:p>
    <w:p w14:paraId="571CBB5C" w14:textId="77777777" w:rsidR="00595C72" w:rsidRDefault="00595C72" w:rsidP="00595C72">
      <w:pPr>
        <w:jc w:val="both"/>
      </w:pPr>
      <w:r>
        <w:t xml:space="preserve">Per governare i flussi di mobilità, la regione Basilicata ha ritenuto anche opportuno </w:t>
      </w:r>
      <w:r w:rsidRPr="000E2B08">
        <w:t>uniforma</w:t>
      </w:r>
      <w:r>
        <w:t xml:space="preserve">re i </w:t>
      </w:r>
      <w:r w:rsidRPr="000E2B08">
        <w:t>comportamenti</w:t>
      </w:r>
      <w:r>
        <w:t xml:space="preserve">, con un </w:t>
      </w:r>
      <w:r w:rsidRPr="00E0282B">
        <w:rPr>
          <w:b/>
        </w:rPr>
        <w:t>accordo con la regione Puglia</w:t>
      </w:r>
      <w:r>
        <w:t xml:space="preserve">, in termini di appropriatezza delle cure e delle prestazioni offerte, riconoscendo ai cittadini lucani </w:t>
      </w:r>
      <w:r w:rsidRPr="000E2B08">
        <w:t xml:space="preserve">la </w:t>
      </w:r>
      <w:r>
        <w:t>possibilità</w:t>
      </w:r>
      <w:r w:rsidRPr="000E2B08">
        <w:t xml:space="preserve"> di potersi spostare</w:t>
      </w:r>
      <w:r>
        <w:t xml:space="preserve"> legittimamente</w:t>
      </w:r>
      <w:r w:rsidRPr="000E2B08">
        <w:t xml:space="preserve"> tra le regioni per farsi curare</w:t>
      </w:r>
      <w:r>
        <w:t xml:space="preserve">. </w:t>
      </w:r>
    </w:p>
    <w:p w14:paraId="044CA080" w14:textId="77777777" w:rsidR="00595C72" w:rsidRDefault="00595C72" w:rsidP="00595C72">
      <w:pPr>
        <w:spacing w:before="240"/>
        <w:contextualSpacing/>
        <w:jc w:val="both"/>
      </w:pPr>
      <w:r w:rsidRPr="005F12F6">
        <w:rPr>
          <w:b/>
        </w:rPr>
        <w:t>L’accordo con la regione Puglia</w:t>
      </w:r>
      <w:r>
        <w:t xml:space="preserve"> è stato pensato per favorire un approccio condiviso e collaborativo da parte delle regioni interessate </w:t>
      </w:r>
      <w:r w:rsidRPr="005F12F6">
        <w:rPr>
          <w:b/>
        </w:rPr>
        <w:t>che consenta un contenimento della spesa sanitaria</w:t>
      </w:r>
      <w:r>
        <w:t xml:space="preserve"> nel momento della compensazione finanziaria.</w:t>
      </w:r>
    </w:p>
    <w:p w14:paraId="0AB60D71" w14:textId="77777777" w:rsidR="00595C72" w:rsidRDefault="00595C72" w:rsidP="00595C72">
      <w:pPr>
        <w:spacing w:before="240"/>
        <w:contextualSpacing/>
        <w:jc w:val="both"/>
      </w:pPr>
      <w:r>
        <w:t>Ci sono, ad esempio, alcune prestazioni sanitarie, per le quali non c’è un’offerta in Basilicata, come quelle offerte dai centri “Grandi Ustionati” (codice discipline 46 e 47), ovvero DRG di Alta complessità, ovvero prestazioni afferenti all’ “Unità spinale” (codice disciplina 28) e neuro-riabilitazione (codice disciplina 75) per le quali quindi occorre favorire una collaborazione interregionale.</w:t>
      </w:r>
    </w:p>
    <w:p w14:paraId="052E71B6" w14:textId="77777777" w:rsidR="00595C72" w:rsidRDefault="00595C72" w:rsidP="00595C72">
      <w:pPr>
        <w:spacing w:before="240"/>
        <w:contextualSpacing/>
        <w:jc w:val="both"/>
      </w:pPr>
      <w:r w:rsidRPr="00E0282B">
        <w:rPr>
          <w:b/>
        </w:rPr>
        <w:t>Di contro le principali prestazioni che si registrano in fuga</w:t>
      </w:r>
      <w:r>
        <w:t xml:space="preserve"> dalla regione sono le stesse che si registrano a livello nazionale ovvero prevalentemente del </w:t>
      </w:r>
      <w:r w:rsidRPr="00E0282B">
        <w:rPr>
          <w:b/>
        </w:rPr>
        <w:t>settore ortopedico-traumatologico</w:t>
      </w:r>
      <w:r>
        <w:t xml:space="preserve">: </w:t>
      </w:r>
    </w:p>
    <w:p w14:paraId="61CCF56F" w14:textId="77777777" w:rsidR="00595C72" w:rsidRDefault="00595C72" w:rsidP="00595C72">
      <w:pPr>
        <w:spacing w:before="240"/>
        <w:contextualSpacing/>
        <w:jc w:val="both"/>
      </w:pPr>
    </w:p>
    <w:tbl>
      <w:tblPr>
        <w:tblW w:w="9204" w:type="dxa"/>
        <w:jc w:val="center"/>
        <w:tblCellMar>
          <w:left w:w="0" w:type="dxa"/>
          <w:right w:w="0" w:type="dxa"/>
        </w:tblCellMar>
        <w:tblLook w:val="0600" w:firstRow="0" w:lastRow="0" w:firstColumn="0" w:lastColumn="0" w:noHBand="1" w:noVBand="1"/>
      </w:tblPr>
      <w:tblGrid>
        <w:gridCol w:w="1833"/>
        <w:gridCol w:w="7371"/>
      </w:tblGrid>
      <w:tr w:rsidR="00595C72" w:rsidRPr="004E1BF9" w14:paraId="677D314A" w14:textId="77777777" w:rsidTr="008B7EB8">
        <w:trPr>
          <w:trHeight w:val="439"/>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EF08482" w14:textId="77777777" w:rsidR="00595C72" w:rsidRPr="004E1BF9" w:rsidRDefault="00595C72" w:rsidP="008B7EB8">
            <w:pPr>
              <w:spacing w:before="240" w:line="256" w:lineRule="auto"/>
              <w:contextualSpacing/>
              <w:jc w:val="center"/>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DRG</w:t>
            </w:r>
          </w:p>
          <w:p w14:paraId="3C183942" w14:textId="77777777" w:rsidR="00595C72" w:rsidRPr="004E1BF9" w:rsidRDefault="00595C72" w:rsidP="008B7EB8">
            <w:pPr>
              <w:spacing w:before="240" w:line="256" w:lineRule="auto"/>
              <w:contextualSpacing/>
              <w:jc w:val="center"/>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(raggruppamenti omogenei di diagnosi)</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8595E24"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Descrizione</w:t>
            </w:r>
          </w:p>
        </w:tc>
      </w:tr>
      <w:tr w:rsidR="00595C72" w:rsidRPr="004E1BF9" w14:paraId="23C4F07C" w14:textId="77777777" w:rsidTr="008B7EB8">
        <w:trPr>
          <w:trHeight w:val="355"/>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8D8D626"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544</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9C49B8" w14:textId="77777777" w:rsidR="00595C72" w:rsidRPr="004E1BF9" w:rsidRDefault="00595C72" w:rsidP="008B7EB8">
            <w:pPr>
              <w:spacing w:before="240" w:line="256" w:lineRule="auto"/>
              <w:contextualSpacing/>
              <w:jc w:val="both"/>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Sostituzione di articolazioni maggiori o reimpianto degli arti inferiori</w:t>
            </w:r>
          </w:p>
        </w:tc>
      </w:tr>
      <w:tr w:rsidR="00595C72" w:rsidRPr="004E1BF9" w14:paraId="184EA8C7" w14:textId="77777777" w:rsidTr="008B7EB8">
        <w:trPr>
          <w:trHeight w:val="26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4A9A50"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256</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0EE407" w14:textId="77777777" w:rsidR="00595C72" w:rsidRPr="004E1BF9" w:rsidRDefault="00595C72" w:rsidP="008B7EB8">
            <w:pPr>
              <w:spacing w:before="240" w:line="256" w:lineRule="auto"/>
              <w:contextualSpacing/>
              <w:jc w:val="both"/>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Altre diagnosi del sistema muscolo-scheletrico e del tessuto connettivo</w:t>
            </w:r>
          </w:p>
        </w:tc>
      </w:tr>
      <w:tr w:rsidR="00595C72" w:rsidRPr="004E1BF9" w14:paraId="010BCFDE" w14:textId="77777777" w:rsidTr="008B7EB8">
        <w:trPr>
          <w:trHeight w:val="439"/>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CAD91AB"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359</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9BA0983" w14:textId="77777777" w:rsidR="00595C72" w:rsidRPr="004E1BF9" w:rsidRDefault="00595C72" w:rsidP="008B7EB8">
            <w:pPr>
              <w:spacing w:before="240" w:line="256" w:lineRule="auto"/>
              <w:contextualSpacing/>
              <w:jc w:val="both"/>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Interventi su utero e annessi non per neoplasie maligne senza CC</w:t>
            </w:r>
          </w:p>
        </w:tc>
      </w:tr>
      <w:tr w:rsidR="00595C72" w:rsidRPr="004E1BF9" w14:paraId="73D082FB" w14:textId="77777777" w:rsidTr="008B7EB8">
        <w:trPr>
          <w:trHeight w:val="59"/>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3232FE"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224</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9DB0EB8" w14:textId="77777777" w:rsidR="00595C72" w:rsidRPr="004E1BF9" w:rsidRDefault="00595C72" w:rsidP="008B7EB8">
            <w:pPr>
              <w:spacing w:before="240" w:line="256" w:lineRule="auto"/>
              <w:contextualSpacing/>
              <w:jc w:val="both"/>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Interventi su spalla, gomito o avambraccio eccetto interventi maggiori su articolazioni senza CC</w:t>
            </w:r>
          </w:p>
        </w:tc>
      </w:tr>
      <w:tr w:rsidR="00595C72" w:rsidRPr="004E1BF9" w14:paraId="76CC8191" w14:textId="77777777" w:rsidTr="008B7EB8">
        <w:trPr>
          <w:trHeight w:val="317"/>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13DC4BB"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500</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9B102FD" w14:textId="77777777" w:rsidR="00595C72" w:rsidRPr="004E1BF9" w:rsidRDefault="00595C72" w:rsidP="008B7EB8">
            <w:pPr>
              <w:spacing w:before="240" w:line="256" w:lineRule="auto"/>
              <w:contextualSpacing/>
              <w:jc w:val="both"/>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Interventi su dorso e collo eccetto per artrodesi vertebrale senza CC</w:t>
            </w:r>
          </w:p>
        </w:tc>
      </w:tr>
      <w:tr w:rsidR="00595C72" w:rsidRPr="004E1BF9" w14:paraId="37E08A90" w14:textId="77777777" w:rsidTr="008B7EB8">
        <w:trPr>
          <w:trHeight w:val="28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E9399D4"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290</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812120" w14:textId="77777777" w:rsidR="00595C72" w:rsidRPr="004E1BF9" w:rsidRDefault="00595C72" w:rsidP="008B7EB8">
            <w:pPr>
              <w:spacing w:before="240" w:line="256" w:lineRule="auto"/>
              <w:contextualSpacing/>
              <w:jc w:val="both"/>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Interventi sulla tiroide</w:t>
            </w:r>
          </w:p>
        </w:tc>
      </w:tr>
      <w:tr w:rsidR="00595C72" w:rsidRPr="004E1BF9" w14:paraId="4C7A6F3E" w14:textId="77777777" w:rsidTr="008B7EB8">
        <w:trPr>
          <w:trHeight w:val="23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308A28" w14:textId="77777777" w:rsidR="00595C72" w:rsidRPr="004E1BF9" w:rsidRDefault="00595C72" w:rsidP="008B7EB8">
            <w:pPr>
              <w:spacing w:before="240" w:line="256" w:lineRule="auto"/>
              <w:contextualSpacing/>
              <w:jc w:val="center"/>
              <w:rPr>
                <w:rFonts w:ascii="Times New Roman" w:eastAsia="Calibri" w:hAnsi="Times New Roman" w:cs="Times New Roman"/>
                <w:b/>
                <w:kern w:val="0"/>
                <w:sz w:val="20"/>
                <w:szCs w:val="20"/>
                <w14:ligatures w14:val="none"/>
              </w:rPr>
            </w:pPr>
            <w:r w:rsidRPr="004E1BF9">
              <w:rPr>
                <w:rFonts w:ascii="Times New Roman" w:eastAsia="Calibri" w:hAnsi="Times New Roman" w:cs="Times New Roman"/>
                <w:b/>
                <w:kern w:val="0"/>
                <w:sz w:val="20"/>
                <w:szCs w:val="20"/>
                <w14:ligatures w14:val="none"/>
              </w:rPr>
              <w:t>498</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D310430" w14:textId="77777777" w:rsidR="00595C72" w:rsidRPr="004E1BF9" w:rsidRDefault="00595C72" w:rsidP="008B7EB8">
            <w:pPr>
              <w:spacing w:before="240" w:line="256" w:lineRule="auto"/>
              <w:contextualSpacing/>
              <w:jc w:val="both"/>
              <w:rPr>
                <w:rFonts w:ascii="Times New Roman" w:eastAsia="Calibri" w:hAnsi="Times New Roman" w:cs="Times New Roman"/>
                <w:kern w:val="0"/>
                <w:sz w:val="20"/>
                <w:szCs w:val="20"/>
                <w14:ligatures w14:val="none"/>
              </w:rPr>
            </w:pPr>
            <w:r w:rsidRPr="004E1BF9">
              <w:rPr>
                <w:rFonts w:ascii="Times New Roman" w:eastAsia="Calibri" w:hAnsi="Times New Roman" w:cs="Times New Roman"/>
                <w:kern w:val="0"/>
                <w:sz w:val="20"/>
                <w:szCs w:val="20"/>
                <w14:ligatures w14:val="none"/>
              </w:rPr>
              <w:t>Artrodesi vertebrale eccetto cervicale senza CC</w:t>
            </w:r>
          </w:p>
        </w:tc>
      </w:tr>
    </w:tbl>
    <w:p w14:paraId="100A7425" w14:textId="77777777" w:rsidR="00595C72" w:rsidRPr="006B65FE" w:rsidRDefault="00595C72" w:rsidP="00595C72">
      <w:pPr>
        <w:spacing w:before="240" w:line="256" w:lineRule="auto"/>
        <w:contextualSpacing/>
        <w:jc w:val="both"/>
        <w:rPr>
          <w:rFonts w:ascii="Times New Roman" w:eastAsia="Calibri" w:hAnsi="Times New Roman" w:cs="Times New Roman"/>
          <w:kern w:val="0"/>
          <w:sz w:val="24"/>
          <w14:ligatures w14:val="none"/>
        </w:rPr>
      </w:pPr>
    </w:p>
    <w:p w14:paraId="7C166204" w14:textId="77777777" w:rsidR="00595C72" w:rsidRPr="006B65FE" w:rsidRDefault="00595C72" w:rsidP="00595C72">
      <w:pPr>
        <w:spacing w:before="240"/>
        <w:contextualSpacing/>
        <w:jc w:val="both"/>
      </w:pPr>
      <w:r>
        <w:t>La</w:t>
      </w:r>
      <w:r w:rsidRPr="006B65FE">
        <w:t xml:space="preserve"> Regione partecipa</w:t>
      </w:r>
      <w:r>
        <w:t>, inoltre,</w:t>
      </w:r>
      <w:r w:rsidRPr="006B65FE">
        <w:t xml:space="preserve"> attivamente ai tavoli tecnici nazionali, che stanno analizzando in dettaglio l’attuazione delle direttive nazionali, soprattutto per quanto </w:t>
      </w:r>
      <w:r>
        <w:rPr>
          <w:b/>
        </w:rPr>
        <w:t>previsto</w:t>
      </w:r>
      <w:r w:rsidRPr="006B65FE">
        <w:rPr>
          <w:b/>
        </w:rPr>
        <w:t xml:space="preserve"> dall’ultima finanziaria 2024 che ha reso obbligatorio per le regioni stipulare ulteriori accordi, anche con le regioni non confinanti, ma tra quelle per cui si registrano </w:t>
      </w:r>
      <w:proofErr w:type="gramStart"/>
      <w:r w:rsidRPr="006B65FE">
        <w:rPr>
          <w:b/>
        </w:rPr>
        <w:t>importanti  dati</w:t>
      </w:r>
      <w:proofErr w:type="gramEnd"/>
      <w:r w:rsidRPr="006B65FE">
        <w:rPr>
          <w:b/>
        </w:rPr>
        <w:t xml:space="preserve"> di mobilità, </w:t>
      </w:r>
      <w:r w:rsidRPr="006B65FE">
        <w:t xml:space="preserve">  per governare questo tipo di flussi.  </w:t>
      </w:r>
    </w:p>
    <w:p w14:paraId="01BB2499" w14:textId="77777777" w:rsidR="00595C72" w:rsidRPr="006B65FE" w:rsidRDefault="00595C72" w:rsidP="00595C72">
      <w:pPr>
        <w:spacing w:before="240"/>
        <w:contextualSpacing/>
        <w:jc w:val="both"/>
      </w:pPr>
    </w:p>
    <w:p w14:paraId="0377BFDA" w14:textId="77777777" w:rsidR="00595C72" w:rsidRPr="006B65FE" w:rsidRDefault="00595C72" w:rsidP="00595C72">
      <w:pPr>
        <w:spacing w:before="240"/>
        <w:contextualSpacing/>
        <w:jc w:val="both"/>
      </w:pPr>
      <w:r w:rsidRPr="006B65FE">
        <w:t xml:space="preserve">Si continuerà inoltre ad: </w:t>
      </w:r>
    </w:p>
    <w:p w14:paraId="2407BF81" w14:textId="77777777" w:rsidR="00595C72" w:rsidRPr="006B65FE" w:rsidRDefault="00595C72" w:rsidP="00595C72">
      <w:pPr>
        <w:pStyle w:val="Paragrafoelenco"/>
        <w:numPr>
          <w:ilvl w:val="0"/>
          <w:numId w:val="27"/>
        </w:numPr>
        <w:spacing w:after="200" w:line="240" w:lineRule="auto"/>
        <w:ind w:left="714" w:hanging="357"/>
        <w:contextualSpacing w:val="0"/>
        <w:jc w:val="both"/>
      </w:pPr>
      <w:r w:rsidRPr="006B65FE">
        <w:rPr>
          <w:b/>
        </w:rPr>
        <w:t>analizzare</w:t>
      </w:r>
      <w:r w:rsidRPr="006B65FE">
        <w:t xml:space="preserve"> i dati della mobilità passiva per garantire un accurato </w:t>
      </w:r>
      <w:r w:rsidRPr="006B65FE">
        <w:rPr>
          <w:b/>
        </w:rPr>
        <w:t xml:space="preserve">monitoraggio della qualità e della appropriatezza </w:t>
      </w:r>
      <w:r w:rsidRPr="006B65FE">
        <w:t xml:space="preserve">delle prestazioni erogate; </w:t>
      </w:r>
    </w:p>
    <w:p w14:paraId="584A6FE6" w14:textId="77777777" w:rsidR="00595C72" w:rsidRPr="006B65FE" w:rsidRDefault="00595C72" w:rsidP="00595C72">
      <w:pPr>
        <w:pStyle w:val="Paragrafoelenco"/>
        <w:numPr>
          <w:ilvl w:val="0"/>
          <w:numId w:val="27"/>
        </w:numPr>
        <w:spacing w:after="200" w:line="240" w:lineRule="auto"/>
        <w:ind w:left="714" w:hanging="357"/>
        <w:contextualSpacing w:val="0"/>
        <w:jc w:val="both"/>
      </w:pPr>
      <w:r w:rsidRPr="006B65FE">
        <w:t xml:space="preserve"> </w:t>
      </w:r>
      <w:r w:rsidRPr="006B65FE">
        <w:rPr>
          <w:b/>
        </w:rPr>
        <w:t>garantire una formazione specifica, per i medici</w:t>
      </w:r>
      <w:r w:rsidRPr="006B65FE">
        <w:t xml:space="preserve"> che redigono le dimissioni del paziente nelle Aziende Sanitarie; </w:t>
      </w:r>
    </w:p>
    <w:p w14:paraId="3AB3B66A" w14:textId="77777777" w:rsidR="00595C72" w:rsidRPr="006B65FE" w:rsidRDefault="00595C72" w:rsidP="00595C72">
      <w:pPr>
        <w:pStyle w:val="Paragrafoelenco"/>
        <w:numPr>
          <w:ilvl w:val="0"/>
          <w:numId w:val="27"/>
        </w:numPr>
        <w:spacing w:after="200" w:line="240" w:lineRule="auto"/>
        <w:ind w:left="714" w:hanging="357"/>
        <w:contextualSpacing w:val="0"/>
        <w:jc w:val="both"/>
      </w:pPr>
      <w:r w:rsidRPr="006B65FE">
        <w:t xml:space="preserve">attuare tutte le azioni utili all’interno delle Aziende Sanitarie regionali </w:t>
      </w:r>
      <w:r w:rsidRPr="006B65FE">
        <w:rPr>
          <w:b/>
        </w:rPr>
        <w:t>per creare una maggiore attrattività</w:t>
      </w:r>
      <w:r w:rsidRPr="006B65FE">
        <w:t xml:space="preserve"> per la popolazione Lucana e per i non residenti. </w:t>
      </w:r>
    </w:p>
    <w:p w14:paraId="1B69D93A" w14:textId="77777777" w:rsidR="00595C72" w:rsidRPr="006B65FE" w:rsidRDefault="00595C72" w:rsidP="00595C72">
      <w:pPr>
        <w:pStyle w:val="Paragrafoelenco"/>
        <w:numPr>
          <w:ilvl w:val="0"/>
          <w:numId w:val="27"/>
        </w:numPr>
        <w:spacing w:after="200" w:line="240" w:lineRule="auto"/>
        <w:ind w:left="714" w:hanging="357"/>
        <w:contextualSpacing w:val="0"/>
        <w:jc w:val="both"/>
      </w:pPr>
      <w:r w:rsidRPr="006B65FE">
        <w:lastRenderedPageBreak/>
        <w:t xml:space="preserve"> </w:t>
      </w:r>
      <w:r w:rsidRPr="006B65FE">
        <w:rPr>
          <w:b/>
        </w:rPr>
        <w:t>proporre progetti specifici per il potenziamento di attività di alta specialità</w:t>
      </w:r>
      <w:r w:rsidRPr="006B65FE">
        <w:t xml:space="preserve"> con potenziamento delle attività chirurgiche;</w:t>
      </w:r>
    </w:p>
    <w:p w14:paraId="46BF3BF2" w14:textId="77777777" w:rsidR="00595C72" w:rsidRPr="006B65FE" w:rsidRDefault="00595C72" w:rsidP="00595C72">
      <w:pPr>
        <w:pStyle w:val="Paragrafoelenco"/>
        <w:numPr>
          <w:ilvl w:val="0"/>
          <w:numId w:val="27"/>
        </w:numPr>
        <w:spacing w:after="200" w:line="240" w:lineRule="auto"/>
        <w:ind w:left="714" w:hanging="357"/>
        <w:contextualSpacing w:val="0"/>
        <w:jc w:val="both"/>
        <w:rPr>
          <w:b/>
          <w:bCs/>
        </w:rPr>
      </w:pPr>
      <w:r w:rsidRPr="006B65FE">
        <w:t xml:space="preserve"> </w:t>
      </w:r>
      <w:r w:rsidRPr="006B65FE">
        <w:rPr>
          <w:b/>
        </w:rPr>
        <w:t>potenziare l’offerta di prestazioni ambulatoriali</w:t>
      </w:r>
      <w:r w:rsidRPr="006B65FE">
        <w:t xml:space="preserve"> </w:t>
      </w:r>
      <w:r w:rsidRPr="006B65FE">
        <w:rPr>
          <w:b/>
          <w:bCs/>
        </w:rPr>
        <w:t>(in attuazione della legge 107/2024 –Liste di attesa).</w:t>
      </w:r>
    </w:p>
    <w:p w14:paraId="316B7D65" w14:textId="77777777" w:rsidR="00595C72" w:rsidRDefault="00595C72" w:rsidP="00595C72">
      <w:pPr>
        <w:spacing w:line="240" w:lineRule="auto"/>
        <w:jc w:val="both"/>
      </w:pPr>
      <w:r w:rsidRPr="006B65FE">
        <w:t xml:space="preserve">Tutto questo in un’ottica di </w:t>
      </w:r>
      <w:r w:rsidRPr="006B65FE">
        <w:rPr>
          <w:b/>
        </w:rPr>
        <w:t>miglioramento delle prestazioni rese e soddisfacimento della richiesta</w:t>
      </w:r>
      <w:r w:rsidRPr="006B65FE">
        <w:t xml:space="preserve"> sanitaria dei cittadini lucani e non residenti e di </w:t>
      </w:r>
      <w:r w:rsidRPr="006B65FE">
        <w:rPr>
          <w:b/>
        </w:rPr>
        <w:t>contenimento e ottimizzazione della spesa</w:t>
      </w:r>
      <w:r w:rsidRPr="006B65FE">
        <w:t xml:space="preserve"> sanitaria regionale. </w:t>
      </w:r>
    </w:p>
    <w:p w14:paraId="37764BD3" w14:textId="77777777" w:rsidR="00595C72" w:rsidRPr="00EC5A23" w:rsidRDefault="00595C72" w:rsidP="00F70766">
      <w:pPr>
        <w:spacing w:after="120" w:line="240" w:lineRule="auto"/>
        <w:ind w:left="709"/>
        <w:jc w:val="both"/>
        <w:rPr>
          <w:rFonts w:ascii="Aptos" w:hAnsi="Aptos"/>
        </w:rPr>
      </w:pPr>
    </w:p>
    <w:p w14:paraId="03405D99" w14:textId="77777777" w:rsidR="00F70766" w:rsidRPr="00EC5A23" w:rsidRDefault="00F70766" w:rsidP="00F70766">
      <w:pPr>
        <w:pStyle w:val="Paragrafoelenco"/>
        <w:numPr>
          <w:ilvl w:val="0"/>
          <w:numId w:val="32"/>
        </w:numPr>
        <w:spacing w:after="120"/>
        <w:contextualSpacing w:val="0"/>
        <w:jc w:val="both"/>
        <w:rPr>
          <w:rFonts w:ascii="Aptos" w:hAnsi="Aptos"/>
          <w:b/>
        </w:rPr>
      </w:pPr>
      <w:r w:rsidRPr="00EC5A23">
        <w:rPr>
          <w:rFonts w:ascii="Aptos" w:hAnsi="Aptos"/>
          <w:b/>
        </w:rPr>
        <w:t>Incremento costo del personale</w:t>
      </w:r>
    </w:p>
    <w:p w14:paraId="57536B68" w14:textId="42AE694B" w:rsidR="00F70766" w:rsidRPr="00EC5A23" w:rsidRDefault="00F70766" w:rsidP="00F70766">
      <w:pPr>
        <w:spacing w:after="120" w:line="240" w:lineRule="auto"/>
        <w:ind w:left="709"/>
        <w:jc w:val="both"/>
        <w:rPr>
          <w:rFonts w:ascii="Aptos" w:hAnsi="Aptos"/>
        </w:rPr>
      </w:pPr>
      <w:r w:rsidRPr="00EC5A23">
        <w:rPr>
          <w:rFonts w:ascii="Aptos" w:hAnsi="Aptos"/>
        </w:rPr>
        <w:t xml:space="preserve">Il costo per il personale </w:t>
      </w:r>
      <w:r w:rsidR="0050389C">
        <w:rPr>
          <w:rFonts w:ascii="Aptos" w:hAnsi="Aptos"/>
        </w:rPr>
        <w:t xml:space="preserve">del SSR </w:t>
      </w:r>
      <w:r w:rsidRPr="00EC5A23">
        <w:rPr>
          <w:rFonts w:ascii="Aptos" w:hAnsi="Aptos"/>
        </w:rPr>
        <w:t xml:space="preserve">è cresciuto rispetto al 2023 di circa 15 mln. Tale incremento è giustificato </w:t>
      </w:r>
      <w:r w:rsidR="0050389C">
        <w:rPr>
          <w:rFonts w:ascii="Aptos" w:hAnsi="Aptos"/>
        </w:rPr>
        <w:t xml:space="preserve">sia </w:t>
      </w:r>
      <w:r w:rsidRPr="00EC5A23">
        <w:rPr>
          <w:rFonts w:ascii="Aptos" w:hAnsi="Aptos"/>
        </w:rPr>
        <w:t>dall</w:t>
      </w:r>
      <w:r w:rsidR="0050389C">
        <w:rPr>
          <w:rFonts w:ascii="Aptos" w:hAnsi="Aptos"/>
        </w:rPr>
        <w:t>’applicazione</w:t>
      </w:r>
      <w:r w:rsidRPr="00EC5A23">
        <w:rPr>
          <w:rFonts w:ascii="Aptos" w:hAnsi="Aptos"/>
        </w:rPr>
        <w:t xml:space="preserve"> degli </w:t>
      </w:r>
      <w:r w:rsidR="0050389C">
        <w:rPr>
          <w:rFonts w:ascii="Aptos" w:hAnsi="Aptos"/>
        </w:rPr>
        <w:t>adeguamenti retributivi</w:t>
      </w:r>
      <w:r w:rsidRPr="00EC5A23">
        <w:rPr>
          <w:rFonts w:ascii="Aptos" w:hAnsi="Aptos"/>
        </w:rPr>
        <w:t xml:space="preserve"> contrattuali</w:t>
      </w:r>
      <w:r w:rsidR="00425E64">
        <w:rPr>
          <w:rFonts w:ascii="Aptos" w:hAnsi="Aptos"/>
        </w:rPr>
        <w:t>,</w:t>
      </w:r>
      <w:r w:rsidRPr="00EC5A23">
        <w:rPr>
          <w:rFonts w:ascii="Aptos" w:hAnsi="Aptos"/>
        </w:rPr>
        <w:t xml:space="preserve"> nei settori della Dirigenza e del comparto</w:t>
      </w:r>
      <w:r w:rsidR="00425E64">
        <w:rPr>
          <w:rFonts w:ascii="Aptos" w:hAnsi="Aptos"/>
        </w:rPr>
        <w:t>,</w:t>
      </w:r>
      <w:r w:rsidRPr="00EC5A23">
        <w:rPr>
          <w:rFonts w:ascii="Aptos" w:hAnsi="Aptos"/>
        </w:rPr>
        <w:t xml:space="preserve"> </w:t>
      </w:r>
      <w:r w:rsidR="0050389C">
        <w:rPr>
          <w:rFonts w:ascii="Aptos" w:hAnsi="Aptos"/>
        </w:rPr>
        <w:t>che</w:t>
      </w:r>
      <w:r w:rsidRPr="00EC5A23">
        <w:rPr>
          <w:rFonts w:ascii="Aptos" w:hAnsi="Aptos"/>
        </w:rPr>
        <w:t xml:space="preserve"> da un incremento </w:t>
      </w:r>
      <w:r w:rsidR="00425E64">
        <w:rPr>
          <w:rFonts w:ascii="Aptos" w:hAnsi="Aptos"/>
        </w:rPr>
        <w:t xml:space="preserve">del numero </w:t>
      </w:r>
      <w:r w:rsidRPr="00EC5A23">
        <w:rPr>
          <w:rFonts w:ascii="Aptos" w:hAnsi="Aptos"/>
        </w:rPr>
        <w:t xml:space="preserve">di risorse umane per effetto delle assunzioni e stabilizzazioni effettuate nel corso del 2024. </w:t>
      </w:r>
    </w:p>
    <w:p w14:paraId="364C50CC" w14:textId="77777777" w:rsidR="00F70766" w:rsidRPr="00EC5A23" w:rsidRDefault="00F70766" w:rsidP="00F70766">
      <w:pPr>
        <w:spacing w:after="120" w:line="240" w:lineRule="auto"/>
        <w:ind w:left="709"/>
        <w:jc w:val="both"/>
        <w:rPr>
          <w:rFonts w:ascii="Aptos" w:hAnsi="Aptos"/>
        </w:rPr>
      </w:pPr>
      <w:r w:rsidRPr="00EC5A23">
        <w:rPr>
          <w:rFonts w:ascii="Aptos" w:hAnsi="Aptos"/>
        </w:rPr>
        <w:t>Sono in corso verifiche per analizzare l’incidenza del saldo assunti-cessati rispetto agli adeguamenti contrattuali, atteso che tale incremento è stato solo in parte finanziato dall’incremento del Fondo sanitario nazionale e impatta sul risultato economico delle aziende.</w:t>
      </w:r>
    </w:p>
    <w:tbl>
      <w:tblPr>
        <w:tblW w:w="7060" w:type="dxa"/>
        <w:jc w:val="center"/>
        <w:tblCellMar>
          <w:left w:w="70" w:type="dxa"/>
          <w:right w:w="70" w:type="dxa"/>
        </w:tblCellMar>
        <w:tblLook w:val="04A0" w:firstRow="1" w:lastRow="0" w:firstColumn="1" w:lastColumn="0" w:noHBand="0" w:noVBand="1"/>
      </w:tblPr>
      <w:tblGrid>
        <w:gridCol w:w="3200"/>
        <w:gridCol w:w="1364"/>
        <w:gridCol w:w="1364"/>
        <w:gridCol w:w="1220"/>
      </w:tblGrid>
      <w:tr w:rsidR="00F70766" w:rsidRPr="00EC5A23" w14:paraId="21475CC6" w14:textId="77777777" w:rsidTr="003040AF">
        <w:trPr>
          <w:trHeight w:val="30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6EB0" w14:textId="77777777" w:rsidR="00F70766" w:rsidRPr="00EC5A23" w:rsidRDefault="00F70766" w:rsidP="001627A4">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Descrizione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2D721D8" w14:textId="77777777" w:rsidR="00F70766" w:rsidRPr="00EC5A23" w:rsidRDefault="00F70766" w:rsidP="001627A4">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CE IV TRIM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23A0F05" w14:textId="77777777" w:rsidR="00F70766" w:rsidRPr="00EC5A23" w:rsidRDefault="00F70766" w:rsidP="001627A4">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Cons. 2023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85F0B74" w14:textId="77777777" w:rsidR="00F70766" w:rsidRPr="00EC5A23" w:rsidRDefault="00F70766" w:rsidP="001627A4">
            <w:pPr>
              <w:spacing w:after="0" w:line="240" w:lineRule="auto"/>
              <w:jc w:val="center"/>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Differenza </w:t>
            </w:r>
          </w:p>
        </w:tc>
      </w:tr>
      <w:tr w:rsidR="00F70766" w:rsidRPr="00EC5A23" w14:paraId="595FC22E" w14:textId="77777777" w:rsidTr="003040AF">
        <w:trPr>
          <w:trHeight w:val="30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9BEE687"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Totale Costo del personale</w:t>
            </w:r>
          </w:p>
        </w:tc>
        <w:tc>
          <w:tcPr>
            <w:tcW w:w="1320" w:type="dxa"/>
            <w:tcBorders>
              <w:top w:val="nil"/>
              <w:left w:val="nil"/>
              <w:bottom w:val="single" w:sz="4" w:space="0" w:color="auto"/>
              <w:right w:val="single" w:sz="4" w:space="0" w:color="auto"/>
            </w:tcBorders>
            <w:shd w:val="clear" w:color="auto" w:fill="auto"/>
            <w:noWrap/>
            <w:vAlign w:val="bottom"/>
            <w:hideMark/>
          </w:tcPr>
          <w:p w14:paraId="3B9EB7A3" w14:textId="77777777" w:rsidR="00F70766" w:rsidRPr="00EC5A23" w:rsidRDefault="00F70766" w:rsidP="00425E6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386.251.499 </w:t>
            </w:r>
          </w:p>
        </w:tc>
        <w:tc>
          <w:tcPr>
            <w:tcW w:w="1320" w:type="dxa"/>
            <w:tcBorders>
              <w:top w:val="nil"/>
              <w:left w:val="nil"/>
              <w:bottom w:val="single" w:sz="4" w:space="0" w:color="auto"/>
              <w:right w:val="single" w:sz="4" w:space="0" w:color="auto"/>
            </w:tcBorders>
            <w:shd w:val="clear" w:color="auto" w:fill="auto"/>
            <w:noWrap/>
            <w:vAlign w:val="bottom"/>
            <w:hideMark/>
          </w:tcPr>
          <w:p w14:paraId="52F7C5F3" w14:textId="77777777" w:rsidR="00F70766" w:rsidRPr="00EC5A23" w:rsidRDefault="00F70766" w:rsidP="00425E6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379.781.419 </w:t>
            </w:r>
          </w:p>
        </w:tc>
        <w:tc>
          <w:tcPr>
            <w:tcW w:w="1220" w:type="dxa"/>
            <w:tcBorders>
              <w:top w:val="nil"/>
              <w:left w:val="nil"/>
              <w:bottom w:val="single" w:sz="4" w:space="0" w:color="auto"/>
              <w:right w:val="single" w:sz="4" w:space="0" w:color="auto"/>
            </w:tcBorders>
            <w:shd w:val="clear" w:color="auto" w:fill="auto"/>
            <w:noWrap/>
            <w:vAlign w:val="bottom"/>
            <w:hideMark/>
          </w:tcPr>
          <w:p w14:paraId="0671DE09" w14:textId="77777777" w:rsidR="00F70766" w:rsidRPr="00EC5A23" w:rsidRDefault="00F70766" w:rsidP="00425E6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6.470.080 </w:t>
            </w:r>
          </w:p>
        </w:tc>
      </w:tr>
      <w:tr w:rsidR="00F70766" w:rsidRPr="00EC5A23" w14:paraId="215A4A4D" w14:textId="77777777" w:rsidTr="003040AF">
        <w:trPr>
          <w:trHeight w:val="30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9A9406B"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Altri accantonamenti (PERSONALE)</w:t>
            </w:r>
          </w:p>
        </w:tc>
        <w:tc>
          <w:tcPr>
            <w:tcW w:w="1320" w:type="dxa"/>
            <w:tcBorders>
              <w:top w:val="nil"/>
              <w:left w:val="nil"/>
              <w:bottom w:val="single" w:sz="4" w:space="0" w:color="auto"/>
              <w:right w:val="single" w:sz="4" w:space="0" w:color="auto"/>
            </w:tcBorders>
            <w:shd w:val="clear" w:color="auto" w:fill="auto"/>
            <w:noWrap/>
            <w:vAlign w:val="bottom"/>
            <w:hideMark/>
          </w:tcPr>
          <w:p w14:paraId="7D191D50" w14:textId="77777777" w:rsidR="00F70766" w:rsidRPr="00EC5A23" w:rsidRDefault="00F70766" w:rsidP="00425E6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18.055.863 </w:t>
            </w:r>
          </w:p>
        </w:tc>
        <w:tc>
          <w:tcPr>
            <w:tcW w:w="1320" w:type="dxa"/>
            <w:tcBorders>
              <w:top w:val="nil"/>
              <w:left w:val="nil"/>
              <w:bottom w:val="single" w:sz="4" w:space="0" w:color="auto"/>
              <w:right w:val="single" w:sz="4" w:space="0" w:color="auto"/>
            </w:tcBorders>
            <w:shd w:val="clear" w:color="auto" w:fill="auto"/>
            <w:noWrap/>
            <w:vAlign w:val="bottom"/>
            <w:hideMark/>
          </w:tcPr>
          <w:p w14:paraId="47867B1A" w14:textId="77777777" w:rsidR="00F70766" w:rsidRPr="00EC5A23" w:rsidRDefault="00F70766" w:rsidP="00425E6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10.749.156 </w:t>
            </w:r>
          </w:p>
        </w:tc>
        <w:tc>
          <w:tcPr>
            <w:tcW w:w="1220" w:type="dxa"/>
            <w:tcBorders>
              <w:top w:val="nil"/>
              <w:left w:val="nil"/>
              <w:bottom w:val="single" w:sz="4" w:space="0" w:color="auto"/>
              <w:right w:val="single" w:sz="4" w:space="0" w:color="auto"/>
            </w:tcBorders>
            <w:shd w:val="clear" w:color="auto" w:fill="auto"/>
            <w:noWrap/>
            <w:vAlign w:val="bottom"/>
            <w:hideMark/>
          </w:tcPr>
          <w:p w14:paraId="0D2D63CC" w14:textId="77777777" w:rsidR="00F70766" w:rsidRPr="00EC5A23" w:rsidRDefault="00F70766" w:rsidP="00425E6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7.306.707 </w:t>
            </w:r>
          </w:p>
        </w:tc>
      </w:tr>
      <w:tr w:rsidR="00F70766" w:rsidRPr="00EC5A23" w14:paraId="077207C1" w14:textId="77777777" w:rsidTr="003040AF">
        <w:trPr>
          <w:trHeight w:val="600"/>
          <w:jc w:val="center"/>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FE12080"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Sopravvenienze passive v/terzi relative al personale</w:t>
            </w:r>
          </w:p>
        </w:tc>
        <w:tc>
          <w:tcPr>
            <w:tcW w:w="1320" w:type="dxa"/>
            <w:tcBorders>
              <w:top w:val="nil"/>
              <w:left w:val="nil"/>
              <w:bottom w:val="single" w:sz="4" w:space="0" w:color="auto"/>
              <w:right w:val="single" w:sz="4" w:space="0" w:color="auto"/>
            </w:tcBorders>
            <w:shd w:val="clear" w:color="auto" w:fill="auto"/>
            <w:noWrap/>
            <w:vAlign w:val="bottom"/>
            <w:hideMark/>
          </w:tcPr>
          <w:p w14:paraId="1AA88EA4" w14:textId="77777777" w:rsidR="00F70766" w:rsidRPr="00EC5A23" w:rsidRDefault="00F70766" w:rsidP="00425E6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2.276.763 </w:t>
            </w:r>
          </w:p>
        </w:tc>
        <w:tc>
          <w:tcPr>
            <w:tcW w:w="1320" w:type="dxa"/>
            <w:tcBorders>
              <w:top w:val="nil"/>
              <w:left w:val="nil"/>
              <w:bottom w:val="single" w:sz="4" w:space="0" w:color="auto"/>
              <w:right w:val="single" w:sz="4" w:space="0" w:color="auto"/>
            </w:tcBorders>
            <w:shd w:val="clear" w:color="auto" w:fill="auto"/>
            <w:noWrap/>
            <w:vAlign w:val="bottom"/>
            <w:hideMark/>
          </w:tcPr>
          <w:p w14:paraId="4F74EFA3" w14:textId="77777777" w:rsidR="00F70766" w:rsidRPr="00EC5A23" w:rsidRDefault="00F70766" w:rsidP="00425E64">
            <w:pPr>
              <w:spacing w:after="0" w:line="240" w:lineRule="auto"/>
              <w:jc w:val="right"/>
              <w:rPr>
                <w:rFonts w:ascii="Aptos" w:eastAsia="Times New Roman" w:hAnsi="Aptos" w:cs="Calibri"/>
                <w:color w:val="000000"/>
                <w:lang w:eastAsia="it-IT"/>
              </w:rPr>
            </w:pPr>
            <w:r w:rsidRPr="00EC5A23">
              <w:rPr>
                <w:rFonts w:ascii="Aptos" w:eastAsia="Times New Roman" w:hAnsi="Aptos" w:cs="Calibri"/>
                <w:color w:val="000000"/>
                <w:lang w:eastAsia="it-IT"/>
              </w:rPr>
              <w:t xml:space="preserve">           942.521 </w:t>
            </w:r>
          </w:p>
        </w:tc>
        <w:tc>
          <w:tcPr>
            <w:tcW w:w="1220" w:type="dxa"/>
            <w:tcBorders>
              <w:top w:val="nil"/>
              <w:left w:val="nil"/>
              <w:bottom w:val="single" w:sz="4" w:space="0" w:color="auto"/>
              <w:right w:val="single" w:sz="4" w:space="0" w:color="auto"/>
            </w:tcBorders>
            <w:shd w:val="clear" w:color="auto" w:fill="auto"/>
            <w:noWrap/>
            <w:vAlign w:val="bottom"/>
            <w:hideMark/>
          </w:tcPr>
          <w:p w14:paraId="541A13AF" w14:textId="77777777" w:rsidR="00F70766" w:rsidRPr="00EC5A23" w:rsidRDefault="00F70766" w:rsidP="00425E6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1.334.242 </w:t>
            </w:r>
          </w:p>
        </w:tc>
      </w:tr>
      <w:tr w:rsidR="00F70766" w:rsidRPr="00EC5A23" w14:paraId="6AED267B" w14:textId="77777777" w:rsidTr="003040AF">
        <w:trPr>
          <w:trHeight w:val="30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CA02F29"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 </w:t>
            </w:r>
          </w:p>
        </w:tc>
        <w:tc>
          <w:tcPr>
            <w:tcW w:w="1320" w:type="dxa"/>
            <w:tcBorders>
              <w:top w:val="nil"/>
              <w:left w:val="nil"/>
              <w:bottom w:val="single" w:sz="4" w:space="0" w:color="auto"/>
              <w:right w:val="single" w:sz="4" w:space="0" w:color="auto"/>
            </w:tcBorders>
            <w:shd w:val="clear" w:color="auto" w:fill="auto"/>
            <w:noWrap/>
            <w:vAlign w:val="bottom"/>
            <w:hideMark/>
          </w:tcPr>
          <w:p w14:paraId="683E0CA3"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 </w:t>
            </w:r>
          </w:p>
        </w:tc>
        <w:tc>
          <w:tcPr>
            <w:tcW w:w="1320" w:type="dxa"/>
            <w:tcBorders>
              <w:top w:val="nil"/>
              <w:left w:val="nil"/>
              <w:bottom w:val="single" w:sz="4" w:space="0" w:color="auto"/>
              <w:right w:val="single" w:sz="4" w:space="0" w:color="auto"/>
            </w:tcBorders>
            <w:shd w:val="clear" w:color="auto" w:fill="auto"/>
            <w:noWrap/>
            <w:vAlign w:val="bottom"/>
            <w:hideMark/>
          </w:tcPr>
          <w:p w14:paraId="2F77B3C4" w14:textId="77777777" w:rsidR="00F70766" w:rsidRPr="00EC5A23" w:rsidRDefault="00F70766" w:rsidP="001627A4">
            <w:pPr>
              <w:spacing w:after="0" w:line="240" w:lineRule="auto"/>
              <w:rPr>
                <w:rFonts w:ascii="Aptos" w:eastAsia="Times New Roman" w:hAnsi="Aptos" w:cs="Calibri"/>
                <w:color w:val="000000"/>
                <w:lang w:eastAsia="it-IT"/>
              </w:rPr>
            </w:pPr>
            <w:r w:rsidRPr="00EC5A23">
              <w:rPr>
                <w:rFonts w:ascii="Aptos" w:eastAsia="Times New Roman" w:hAnsi="Aptos" w:cs="Calibri"/>
                <w:color w:val="000000"/>
                <w:lang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3824EC" w14:textId="77777777" w:rsidR="00F70766" w:rsidRPr="00EC5A23" w:rsidRDefault="00F70766" w:rsidP="00425E64">
            <w:pPr>
              <w:spacing w:after="0" w:line="240" w:lineRule="auto"/>
              <w:jc w:val="right"/>
              <w:rPr>
                <w:rFonts w:ascii="Aptos" w:eastAsia="Times New Roman" w:hAnsi="Aptos" w:cs="Calibri"/>
                <w:b/>
                <w:bCs/>
                <w:color w:val="000000"/>
                <w:lang w:eastAsia="it-IT"/>
              </w:rPr>
            </w:pPr>
            <w:r w:rsidRPr="00EC5A23">
              <w:rPr>
                <w:rFonts w:ascii="Aptos" w:eastAsia="Times New Roman" w:hAnsi="Aptos" w:cs="Calibri"/>
                <w:b/>
                <w:bCs/>
                <w:color w:val="000000"/>
                <w:lang w:eastAsia="it-IT"/>
              </w:rPr>
              <w:t xml:space="preserve">   15.111.029 </w:t>
            </w:r>
          </w:p>
        </w:tc>
      </w:tr>
    </w:tbl>
    <w:p w14:paraId="26EA3818" w14:textId="77777777" w:rsidR="00F70766" w:rsidRPr="00EC5A23" w:rsidRDefault="00F70766" w:rsidP="00F70766">
      <w:pPr>
        <w:spacing w:after="120" w:line="240" w:lineRule="auto"/>
        <w:jc w:val="both"/>
        <w:rPr>
          <w:rFonts w:ascii="Aptos" w:hAnsi="Aptos"/>
        </w:rPr>
      </w:pPr>
    </w:p>
    <w:p w14:paraId="0276AA7E" w14:textId="54C59F41" w:rsidR="00F70766" w:rsidRPr="00EC5A23" w:rsidRDefault="00F70766" w:rsidP="00F70766">
      <w:pPr>
        <w:spacing w:after="120" w:line="240" w:lineRule="auto"/>
        <w:jc w:val="both"/>
        <w:rPr>
          <w:rFonts w:ascii="Aptos" w:hAnsi="Aptos"/>
        </w:rPr>
      </w:pPr>
      <w:r w:rsidRPr="00EC5A23">
        <w:rPr>
          <w:rFonts w:ascii="Aptos" w:hAnsi="Aptos"/>
        </w:rPr>
        <w:t xml:space="preserve">Da una prima analisi dei dati di CE IV TRIMESTRE si evidenzia anche un incremento nelle prestazioni da privato nella specialistica ambulatoriale e nella </w:t>
      </w:r>
      <w:r w:rsidR="0050389C">
        <w:rPr>
          <w:rFonts w:ascii="Aptos" w:hAnsi="Aptos"/>
        </w:rPr>
        <w:t xml:space="preserve">medicina </w:t>
      </w:r>
      <w:r w:rsidRPr="00EC5A23">
        <w:rPr>
          <w:rFonts w:ascii="Aptos" w:hAnsi="Aptos"/>
        </w:rPr>
        <w:t>riabilitativa</w:t>
      </w:r>
      <w:r w:rsidR="0050389C">
        <w:rPr>
          <w:rFonts w:ascii="Aptos" w:hAnsi="Aptos"/>
        </w:rPr>
        <w:t xml:space="preserve">, </w:t>
      </w:r>
      <w:r w:rsidRPr="00EC5A23">
        <w:rPr>
          <w:rFonts w:ascii="Aptos" w:hAnsi="Aptos"/>
        </w:rPr>
        <w:t>su cui sono in corso ulteriori approfondimenti.</w:t>
      </w:r>
    </w:p>
    <w:p w14:paraId="1D7758FA" w14:textId="77777777" w:rsidR="00F70766" w:rsidRPr="00EC5A23" w:rsidRDefault="00F70766" w:rsidP="00F70766">
      <w:pPr>
        <w:spacing w:after="120" w:line="240" w:lineRule="auto"/>
        <w:jc w:val="both"/>
        <w:rPr>
          <w:rFonts w:ascii="Aptos" w:hAnsi="Aptos"/>
          <w:b/>
        </w:rPr>
      </w:pPr>
      <w:r w:rsidRPr="00EC5A23">
        <w:rPr>
          <w:rFonts w:ascii="Aptos" w:hAnsi="Aptos"/>
          <w:b/>
        </w:rPr>
        <w:t>Spunti riflessione</w:t>
      </w:r>
    </w:p>
    <w:p w14:paraId="069D20F4" w14:textId="77777777" w:rsidR="00F70766" w:rsidRPr="00EC5A23" w:rsidRDefault="00F70766" w:rsidP="00F70766">
      <w:pPr>
        <w:pStyle w:val="Paragrafoelenco"/>
        <w:numPr>
          <w:ilvl w:val="0"/>
          <w:numId w:val="34"/>
        </w:numPr>
        <w:spacing w:before="120" w:after="120" w:line="240" w:lineRule="auto"/>
        <w:ind w:left="714" w:hanging="357"/>
        <w:contextualSpacing w:val="0"/>
        <w:jc w:val="both"/>
        <w:rPr>
          <w:rFonts w:ascii="Aptos" w:hAnsi="Aptos"/>
        </w:rPr>
      </w:pPr>
      <w:r w:rsidRPr="00EC5A23">
        <w:rPr>
          <w:rFonts w:ascii="Aptos" w:hAnsi="Aptos"/>
        </w:rPr>
        <w:t>Il finanziamento statale non riesce ormai ad assicurare l’equilibrio di bilancio in relazione al livello di erogazione dei Lea posti a carico dei sistemi sanitari regionali. Inoltre, con l’entrata a regime dei nuovi criteri di riparto, vengono penalizzate le regioni più deboli (ma anche più inefficienti), che devono recuperare rapidamente una maggiore efficienza operativa in termini di programmazione sanitaria ed efficientamento della spesa;</w:t>
      </w:r>
    </w:p>
    <w:p w14:paraId="5505E89C" w14:textId="77777777" w:rsidR="00F70766" w:rsidRPr="00EC5A23" w:rsidRDefault="00F70766" w:rsidP="00F70766">
      <w:pPr>
        <w:pStyle w:val="Paragrafoelenco"/>
        <w:numPr>
          <w:ilvl w:val="0"/>
          <w:numId w:val="34"/>
        </w:numPr>
        <w:spacing w:before="120" w:after="120" w:line="240" w:lineRule="auto"/>
        <w:ind w:left="714" w:hanging="357"/>
        <w:contextualSpacing w:val="0"/>
        <w:jc w:val="both"/>
        <w:rPr>
          <w:rFonts w:ascii="Aptos" w:hAnsi="Aptos"/>
        </w:rPr>
      </w:pPr>
      <w:r w:rsidRPr="00EC5A23">
        <w:rPr>
          <w:rFonts w:ascii="Aptos" w:hAnsi="Aptos"/>
        </w:rPr>
        <w:t xml:space="preserve">Nel corso degli ultimi anni è stato </w:t>
      </w:r>
      <w:r w:rsidRPr="00EC5A23">
        <w:rPr>
          <w:rFonts w:ascii="Aptos" w:hAnsi="Aptos"/>
          <w:b/>
        </w:rPr>
        <w:t>incrementato l’utilizzo di fondi comunitari</w:t>
      </w:r>
      <w:r w:rsidRPr="00EC5A23">
        <w:rPr>
          <w:rFonts w:ascii="Aptos" w:hAnsi="Aptos"/>
        </w:rPr>
        <w:t xml:space="preserve"> (FESR e FSE+ del PR Basilicata, FSC e Strategia Aree Interne SNAI) e PNES (Programma Equità nella Salute) a supporto delle politiche sanitarie, soprattutto per quanto riguarda gli investimenti sulle strutture sanitarie e nell’ammodernamento tecnologico e scientifico delle attrezzature con importanti passi in avanti in materia di Sanità digitale, di robotica, e di potenziamento e messa in sicurezza del patrimonio sanitario pubblico, che si intende incrementare ulteriormente in futuro;</w:t>
      </w:r>
    </w:p>
    <w:p w14:paraId="5EB99CCF" w14:textId="182FD102" w:rsidR="00F70766" w:rsidRPr="00EC5A23" w:rsidRDefault="00F70766" w:rsidP="00F70766">
      <w:pPr>
        <w:pStyle w:val="Paragrafoelenco"/>
        <w:numPr>
          <w:ilvl w:val="0"/>
          <w:numId w:val="34"/>
        </w:numPr>
        <w:spacing w:before="120" w:after="120" w:line="240" w:lineRule="auto"/>
        <w:ind w:left="714" w:hanging="357"/>
        <w:contextualSpacing w:val="0"/>
        <w:jc w:val="both"/>
        <w:rPr>
          <w:rFonts w:ascii="Aptos" w:hAnsi="Aptos"/>
        </w:rPr>
      </w:pPr>
      <w:r w:rsidRPr="00EC5A23">
        <w:rPr>
          <w:rFonts w:ascii="Aptos" w:hAnsi="Aptos"/>
        </w:rPr>
        <w:t xml:space="preserve">Nella individuazione dei nuovi interventi di investimenti e potenziamento tecnologico viene data </w:t>
      </w:r>
      <w:r w:rsidRPr="00EC5A23">
        <w:rPr>
          <w:rFonts w:ascii="Aptos" w:hAnsi="Aptos"/>
          <w:b/>
        </w:rPr>
        <w:t>priorità alle azioni che impattano sulla riduzione della mobilità passiva e delle liste d’attesa, sul riequilibrio territoriale</w:t>
      </w:r>
      <w:r w:rsidRPr="00EC5A23">
        <w:rPr>
          <w:rFonts w:ascii="Aptos" w:hAnsi="Aptos"/>
        </w:rPr>
        <w:t xml:space="preserve"> delle strutture di erogazione delle prestazioni a carattere sanitario, </w:t>
      </w:r>
      <w:r w:rsidR="00F52D24" w:rsidRPr="00EC5A23">
        <w:rPr>
          <w:rFonts w:ascii="Aptos" w:hAnsi="Aptos"/>
        </w:rPr>
        <w:t>sociosanitario</w:t>
      </w:r>
      <w:r w:rsidRPr="00EC5A23">
        <w:rPr>
          <w:rFonts w:ascii="Aptos" w:hAnsi="Aptos"/>
        </w:rPr>
        <w:t xml:space="preserve"> e socio</w:t>
      </w:r>
      <w:r w:rsidR="00764FAE">
        <w:rPr>
          <w:rFonts w:ascii="Aptos" w:hAnsi="Aptos"/>
        </w:rPr>
        <w:t>-</w:t>
      </w:r>
      <w:r w:rsidRPr="00EC5A23">
        <w:rPr>
          <w:rFonts w:ascii="Aptos" w:hAnsi="Aptos"/>
        </w:rPr>
        <w:t>assistenziale, con l’obiettivo di conseguire recuperi, anche di tipo finanziario, su problematiche fortemente avvertite presso le comunità lucane;</w:t>
      </w:r>
    </w:p>
    <w:p w14:paraId="11C19FDF" w14:textId="19C23080" w:rsidR="00F70766" w:rsidRPr="00EC5A23" w:rsidRDefault="00F70766" w:rsidP="00F70766">
      <w:pPr>
        <w:pStyle w:val="Paragrafoelenco"/>
        <w:numPr>
          <w:ilvl w:val="0"/>
          <w:numId w:val="34"/>
        </w:numPr>
        <w:spacing w:before="120" w:after="120" w:line="240" w:lineRule="auto"/>
        <w:ind w:left="714" w:hanging="357"/>
        <w:contextualSpacing w:val="0"/>
        <w:jc w:val="both"/>
        <w:rPr>
          <w:rFonts w:ascii="Aptos" w:hAnsi="Aptos"/>
        </w:rPr>
      </w:pPr>
      <w:r w:rsidRPr="00EC5A23">
        <w:rPr>
          <w:rFonts w:ascii="Aptos" w:hAnsi="Aptos"/>
        </w:rPr>
        <w:lastRenderedPageBreak/>
        <w:t xml:space="preserve">La Regione Basilicata ha compiuto tutti gli sforzi possibili per evitare, a differenza di molte altre regioni anche del Sud, di intervenire sulla leva fiscale (incremento aliquote addizionali e Irap) utilizzando risorse aggiuntive (royalty e compensazioni petrolifere). </w:t>
      </w:r>
      <w:r w:rsidR="00FC025F" w:rsidRPr="00EC5A23">
        <w:rPr>
          <w:rFonts w:ascii="Aptos" w:hAnsi="Aptos"/>
        </w:rPr>
        <w:t>Tuttavia,</w:t>
      </w:r>
      <w:r w:rsidRPr="00EC5A23">
        <w:rPr>
          <w:rFonts w:ascii="Aptos" w:hAnsi="Aptos"/>
        </w:rPr>
        <w:t xml:space="preserve"> si rende necessario aprire una riflessione sulla necessità di fornire </w:t>
      </w:r>
      <w:r w:rsidRPr="00EC5A23">
        <w:rPr>
          <w:rFonts w:ascii="Aptos" w:hAnsi="Aptos"/>
          <w:b/>
        </w:rPr>
        <w:t>risorse aggiuntive</w:t>
      </w:r>
      <w:r w:rsidRPr="00EC5A23">
        <w:rPr>
          <w:rFonts w:ascii="Aptos" w:hAnsi="Aptos"/>
        </w:rPr>
        <w:t xml:space="preserve"> per garantire l’equilibrio economico finanziario ed evitare di dover andare sistematicamente a copertura ex post delle perdite, attesa la necessità di assicurare il soddisfacimento del bisogno di salute soprattutto alle fasce sociali più fragili (anziani, disabili, fasce economiche svantaggiate, cronicità e aree marginali);</w:t>
      </w:r>
    </w:p>
    <w:p w14:paraId="4C1EEC5A" w14:textId="5D17244C" w:rsidR="00F70766" w:rsidRPr="00EC5A23" w:rsidRDefault="00F70766" w:rsidP="00F70766">
      <w:pPr>
        <w:pStyle w:val="Paragrafoelenco"/>
        <w:numPr>
          <w:ilvl w:val="0"/>
          <w:numId w:val="34"/>
        </w:numPr>
        <w:spacing w:before="120" w:after="120" w:line="240" w:lineRule="auto"/>
        <w:ind w:left="714" w:hanging="357"/>
        <w:contextualSpacing w:val="0"/>
        <w:jc w:val="both"/>
        <w:rPr>
          <w:rFonts w:ascii="Aptos" w:hAnsi="Aptos"/>
        </w:rPr>
      </w:pPr>
      <w:r w:rsidRPr="00EC5A23">
        <w:rPr>
          <w:rFonts w:ascii="Aptos" w:hAnsi="Aptos"/>
        </w:rPr>
        <w:t xml:space="preserve">Il </w:t>
      </w:r>
      <w:r w:rsidRPr="00EC5A23">
        <w:rPr>
          <w:rFonts w:ascii="Aptos" w:hAnsi="Aptos"/>
          <w:b/>
        </w:rPr>
        <w:t>governo della complessità della transizione</w:t>
      </w:r>
      <w:r w:rsidRPr="00EC5A23">
        <w:rPr>
          <w:rFonts w:ascii="Aptos" w:hAnsi="Aptos"/>
        </w:rPr>
        <w:t xml:space="preserve"> che sta riguardando i sistemi sanitari regionali (Riorganizzazione sanità territoriale, implementazione della Sanità digitale, digitalizzazione dei processi e dematerializzazione documentale, Fascicolo Sanitario Elettronico, modelli di gestione e controllo innovativi), ha richiesto il potenziamento delle strutture burocratiche ed amministrative a presidio di tali processi. Accanto al potenziamento di risorse umane incardinate presso </w:t>
      </w:r>
      <w:r w:rsidR="00FC025F">
        <w:rPr>
          <w:rFonts w:ascii="Aptos" w:hAnsi="Aptos"/>
        </w:rPr>
        <w:t>la Direzione regionale</w:t>
      </w:r>
      <w:r w:rsidRPr="00EC5A23">
        <w:rPr>
          <w:rFonts w:ascii="Aptos" w:hAnsi="Aptos"/>
        </w:rPr>
        <w:t xml:space="preserve">, a partire da gennaio 2025 è operativo il progetto </w:t>
      </w:r>
      <w:r w:rsidRPr="00EC5A23">
        <w:rPr>
          <w:rFonts w:ascii="Aptos" w:hAnsi="Aptos"/>
          <w:b/>
        </w:rPr>
        <w:t>“Digitalizzazione dei processi di programmazione controllo e governance del Sistema Sanitario della Basilicata”</w:t>
      </w:r>
      <w:r w:rsidR="00B1121B">
        <w:rPr>
          <w:rFonts w:ascii="Aptos" w:hAnsi="Aptos"/>
          <w:b/>
        </w:rPr>
        <w:t xml:space="preserve"> di cui alla DGR 659 del 04/11/2024 per un importo complessivo di 3,25 Mln circa,</w:t>
      </w:r>
      <w:r w:rsidRPr="00EC5A23">
        <w:rPr>
          <w:rFonts w:ascii="Aptos" w:hAnsi="Aptos"/>
        </w:rPr>
        <w:t xml:space="preserve"> che consentirà la revisione e la riorganizzazione dei processi di programmazione, monitoraggio e controllo</w:t>
      </w:r>
      <w:r w:rsidR="00FC025F">
        <w:rPr>
          <w:rFonts w:ascii="Aptos" w:hAnsi="Aptos"/>
        </w:rPr>
        <w:t>,</w:t>
      </w:r>
      <w:r w:rsidRPr="00EC5A23">
        <w:rPr>
          <w:rFonts w:ascii="Aptos" w:hAnsi="Aptos"/>
        </w:rPr>
        <w:t xml:space="preserve"> con il supporto di consulenti esperti senior sulle principali aree strategiche </w:t>
      </w:r>
      <w:r w:rsidR="00FC025F">
        <w:rPr>
          <w:rFonts w:ascii="Aptos" w:hAnsi="Aptos"/>
        </w:rPr>
        <w:t>direzionali</w:t>
      </w:r>
      <w:r w:rsidRPr="00EC5A23">
        <w:rPr>
          <w:rFonts w:ascii="Aptos" w:hAnsi="Aptos"/>
        </w:rPr>
        <w:t>:</w:t>
      </w:r>
    </w:p>
    <w:p w14:paraId="595E1754"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Aspetti economico finanziari e gestionali delle Aziende SSR</w:t>
      </w:r>
    </w:p>
    <w:p w14:paraId="09B1DB2B"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Monitoraggio delle risorse impiegate nel sistema salute</w:t>
      </w:r>
    </w:p>
    <w:p w14:paraId="0731B872"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Il conseguimento dei LEA</w:t>
      </w:r>
    </w:p>
    <w:p w14:paraId="197DAD41"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L’accessibilità ai servizi sanitari: i tempi d’attesa delle prestazioni specialistiche, chirurgiche e di emergenza</w:t>
      </w:r>
    </w:p>
    <w:p w14:paraId="056C672A"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L’accessibilità ai servizi sanitari: i tempi d’attesa delle prestazioni specialistiche, chirurgiche e di emergenza</w:t>
      </w:r>
    </w:p>
    <w:p w14:paraId="2ABE73DA"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La mobilità sanitaria (attiva e passiva) verso altre Regioni</w:t>
      </w:r>
    </w:p>
    <w:p w14:paraId="676F3182"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Il livello di avanzamento delle principali progettualità inerenti all’attuazione del DM 77</w:t>
      </w:r>
    </w:p>
    <w:p w14:paraId="2FCB34B9"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Il monitoraggio dell’avanzamento degli obiettivi dei Direttori Generali delle Aziende sanitarie regionali</w:t>
      </w:r>
    </w:p>
    <w:p w14:paraId="21B277A6" w14:textId="77777777" w:rsidR="00F70766" w:rsidRPr="00EC5A23" w:rsidRDefault="00F70766" w:rsidP="00F70766">
      <w:pPr>
        <w:pStyle w:val="Paragrafoelenco"/>
        <w:numPr>
          <w:ilvl w:val="0"/>
          <w:numId w:val="33"/>
        </w:numPr>
        <w:spacing w:after="0" w:line="240" w:lineRule="auto"/>
        <w:ind w:left="992" w:hanging="357"/>
        <w:contextualSpacing w:val="0"/>
        <w:jc w:val="both"/>
        <w:rPr>
          <w:rFonts w:ascii="Aptos" w:hAnsi="Aptos"/>
        </w:rPr>
      </w:pPr>
      <w:r w:rsidRPr="00EC5A23">
        <w:rPr>
          <w:rFonts w:ascii="Aptos" w:hAnsi="Aptos"/>
        </w:rPr>
        <w:t>Monitoraggio dell’avanzamento delle attività operative in termini di servizi assistenziali.</w:t>
      </w:r>
    </w:p>
    <w:p w14:paraId="690EB439" w14:textId="46EE4354" w:rsidR="003040AF" w:rsidRDefault="003040AF">
      <w:r>
        <w:br w:type="page"/>
      </w:r>
    </w:p>
    <w:p w14:paraId="405862B2" w14:textId="77777777" w:rsidR="009F7FDC" w:rsidRPr="002854FB" w:rsidRDefault="009F7FDC" w:rsidP="009F7FDC">
      <w:pPr>
        <w:jc w:val="both"/>
        <w:rPr>
          <w:b/>
          <w:bCs/>
          <w:u w:val="single"/>
        </w:rPr>
      </w:pPr>
      <w:r w:rsidRPr="002854FB">
        <w:rPr>
          <w:b/>
          <w:bCs/>
          <w:u w:val="single"/>
        </w:rPr>
        <w:lastRenderedPageBreak/>
        <w:t xml:space="preserve">PREVENZIONE </w:t>
      </w:r>
    </w:p>
    <w:p w14:paraId="475E78C8" w14:textId="629ECFA7" w:rsidR="00C72E72" w:rsidRDefault="009F7FDC" w:rsidP="00ED167C">
      <w:pPr>
        <w:jc w:val="both"/>
      </w:pPr>
      <w:r>
        <w:t xml:space="preserve">La prevenzione </w:t>
      </w:r>
      <w:r w:rsidR="00743E75">
        <w:t xml:space="preserve">gioca un ruolo strategico nelle politiche sanitarie perché attraverso di essa è possibile preservare le naturali condizioni di salute dei nostri cittadini, ma anche la sostenibilità dell’intero sistema sanitario sotto il profilo delle prestazioni </w:t>
      </w:r>
      <w:r w:rsidR="00FC025F">
        <w:t xml:space="preserve">da erogare </w:t>
      </w:r>
      <w:r w:rsidR="00743E75">
        <w:t>e sotto quello delle compatibilità finanziarie,</w:t>
      </w:r>
    </w:p>
    <w:p w14:paraId="47D0EA4D" w14:textId="3CA6E3EA" w:rsidR="00743E75" w:rsidRDefault="00743E75" w:rsidP="00ED167C">
      <w:pPr>
        <w:jc w:val="both"/>
      </w:pPr>
      <w:r>
        <w:t>Lo screening per la diagnosi precoce delle malattie, specie quelle che sono suscettibili di esiti nefasti se non diagnostiche in tempo, come il cancro, e le campagne vaccinali per la riduzione del rischio derivante dalla diffusione di malattia epidemiche, sono i principali strumenti attraverso cui la Regione intende preservare la salute dei cittadini.</w:t>
      </w:r>
    </w:p>
    <w:p w14:paraId="45DCB515" w14:textId="20773B0E" w:rsidR="00743E75" w:rsidRDefault="00FC025F" w:rsidP="00743E75">
      <w:pPr>
        <w:jc w:val="both"/>
      </w:pPr>
      <w:r>
        <w:t>L</w:t>
      </w:r>
      <w:r w:rsidR="00743E75">
        <w:t>a Regione Basilicata ha sono in corso le seguenti campagne di screening</w:t>
      </w:r>
      <w:r w:rsidR="00764FAE">
        <w:t xml:space="preserve"> oncologici</w:t>
      </w:r>
      <w:r w:rsidR="00743E75">
        <w:t>:</w:t>
      </w:r>
    </w:p>
    <w:p w14:paraId="26496777" w14:textId="1E3AC85B" w:rsidR="00743E75" w:rsidRDefault="00743E75" w:rsidP="00743E75">
      <w:pPr>
        <w:pStyle w:val="Paragrafoelenco"/>
        <w:numPr>
          <w:ilvl w:val="0"/>
          <w:numId w:val="23"/>
        </w:numPr>
        <w:jc w:val="both"/>
      </w:pPr>
      <w:r w:rsidRPr="0091206F">
        <w:rPr>
          <w:b/>
        </w:rPr>
        <w:t>mammografico</w:t>
      </w:r>
      <w:r>
        <w:t>: rivolto alle don</w:t>
      </w:r>
      <w:r w:rsidR="00792AD5">
        <w:t xml:space="preserve">ne di età compresa tra i 45-74 </w:t>
      </w:r>
      <w:r>
        <w:t xml:space="preserve">anni - con una adesione pari al 72,8% </w:t>
      </w:r>
      <w:proofErr w:type="gramStart"/>
      <w:r>
        <w:t>( al</w:t>
      </w:r>
      <w:proofErr w:type="gramEnd"/>
      <w:r>
        <w:t xml:space="preserve"> disopra della media delle regioni del Sud);</w:t>
      </w:r>
    </w:p>
    <w:p w14:paraId="47EA33C5" w14:textId="0092A421" w:rsidR="00743E75" w:rsidRDefault="00743E75" w:rsidP="00743E75">
      <w:pPr>
        <w:pStyle w:val="Paragrafoelenco"/>
        <w:numPr>
          <w:ilvl w:val="0"/>
          <w:numId w:val="23"/>
        </w:numPr>
        <w:jc w:val="both"/>
      </w:pPr>
      <w:proofErr w:type="spellStart"/>
      <w:r w:rsidRPr="0091206F">
        <w:rPr>
          <w:b/>
        </w:rPr>
        <w:t>cervico</w:t>
      </w:r>
      <w:proofErr w:type="spellEnd"/>
      <w:r w:rsidR="004940E3" w:rsidRPr="0091206F">
        <w:rPr>
          <w:b/>
        </w:rPr>
        <w:t>-</w:t>
      </w:r>
      <w:r w:rsidRPr="0091206F">
        <w:rPr>
          <w:b/>
        </w:rPr>
        <w:t>uterino</w:t>
      </w:r>
      <w:r>
        <w:t xml:space="preserve">: rivolto alle donne di età compresa tra i 25-64 anni – con </w:t>
      </w:r>
      <w:r w:rsidR="002854FB">
        <w:t>una adesione</w:t>
      </w:r>
      <w:r>
        <w:t xml:space="preserve"> pari al 62,3% (superiore alla media nazionale e che ha </w:t>
      </w:r>
      <w:r w:rsidR="00FC025F">
        <w:t>visto un</w:t>
      </w:r>
      <w:r>
        <w:t xml:space="preserve"> aumento complessivo di circa 10 punti percentuali rispetto all’anno precedente);</w:t>
      </w:r>
    </w:p>
    <w:p w14:paraId="0D0E38F1" w14:textId="03543CD5" w:rsidR="00743E75" w:rsidRDefault="00743E75" w:rsidP="00743E75">
      <w:pPr>
        <w:pStyle w:val="Paragrafoelenco"/>
        <w:numPr>
          <w:ilvl w:val="0"/>
          <w:numId w:val="23"/>
        </w:numPr>
        <w:jc w:val="both"/>
      </w:pPr>
      <w:r w:rsidRPr="0091206F">
        <w:rPr>
          <w:b/>
        </w:rPr>
        <w:t>colon retto</w:t>
      </w:r>
      <w:r>
        <w:t xml:space="preserve">: rivolto ai cittadini di entrambi i sessi con età compresa tra i 50-69 anni - con </w:t>
      </w:r>
      <w:r w:rsidR="002854FB">
        <w:t>un’adesione</w:t>
      </w:r>
      <w:r>
        <w:t xml:space="preserve"> del 37,8% (in linea con la media nazionale e comunque superiore a quella delle regioni del Sud),</w:t>
      </w:r>
    </w:p>
    <w:p w14:paraId="44966917" w14:textId="0BD48766" w:rsidR="00743E75" w:rsidRDefault="00743E75" w:rsidP="00743E75">
      <w:pPr>
        <w:jc w:val="both"/>
      </w:pPr>
      <w:r>
        <w:t>I dati sopra</w:t>
      </w:r>
      <w:r w:rsidR="00FC025F">
        <w:t xml:space="preserve"> </w:t>
      </w:r>
      <w:r>
        <w:t>riportati sono riferiti all'anno 2023, ultimo anno con dati certificati dall'ONS (Osservatorio Nazionale Screening).</w:t>
      </w:r>
    </w:p>
    <w:p w14:paraId="198EC9B3" w14:textId="55EEC344" w:rsidR="00743E75" w:rsidRPr="004E1BF9" w:rsidRDefault="008943A5" w:rsidP="00743E75">
      <w:pPr>
        <w:jc w:val="both"/>
        <w:rPr>
          <w:u w:val="single"/>
        </w:rPr>
      </w:pPr>
      <w:r>
        <w:t>La Regione</w:t>
      </w:r>
      <w:r w:rsidR="00743E75">
        <w:t xml:space="preserve">, oltre a consolidare gli screening </w:t>
      </w:r>
      <w:r w:rsidR="005A6818">
        <w:t>obbligatori previsti a livello nazionale, ha previsto un allargamento degli obiettivi target degli screening da eseguire, rivolgendoli ad altre patologie. N</w:t>
      </w:r>
      <w:r w:rsidR="00743E75">
        <w:t>el corso del 2025</w:t>
      </w:r>
      <w:r w:rsidR="005A6818">
        <w:t xml:space="preserve">, infatti, è stato programmato </w:t>
      </w:r>
      <w:r w:rsidR="005A6818" w:rsidRPr="004E1BF9">
        <w:rPr>
          <w:u w:val="single"/>
        </w:rPr>
        <w:t xml:space="preserve">l’avvio di </w:t>
      </w:r>
      <w:r w:rsidR="00743E75" w:rsidRPr="004E1BF9">
        <w:rPr>
          <w:u w:val="single"/>
        </w:rPr>
        <w:t xml:space="preserve">campagne di screening sperimentali </w:t>
      </w:r>
      <w:r w:rsidR="00743E75" w:rsidRPr="004E1BF9">
        <w:rPr>
          <w:b/>
          <w:u w:val="single"/>
        </w:rPr>
        <w:t>per il tumore del polmone</w:t>
      </w:r>
      <w:r w:rsidR="00743E75" w:rsidRPr="004E1BF9">
        <w:rPr>
          <w:u w:val="single"/>
        </w:rPr>
        <w:t xml:space="preserve"> (popolazione target tra i 55-75 anni) e </w:t>
      </w:r>
      <w:r w:rsidR="00743E75" w:rsidRPr="004E1BF9">
        <w:rPr>
          <w:b/>
          <w:u w:val="single"/>
        </w:rPr>
        <w:t>per il tumore della prostata</w:t>
      </w:r>
      <w:r w:rsidR="00743E75" w:rsidRPr="004E1BF9">
        <w:rPr>
          <w:u w:val="single"/>
        </w:rPr>
        <w:t xml:space="preserve"> (popolazione maschile tra i 50-69 anni)</w:t>
      </w:r>
    </w:p>
    <w:p w14:paraId="4964DF96" w14:textId="2BF57D58" w:rsidR="00743E75" w:rsidRDefault="005A6818" w:rsidP="00743E75">
      <w:pPr>
        <w:jc w:val="both"/>
      </w:pPr>
      <w:r>
        <w:t xml:space="preserve">Sul fronte </w:t>
      </w:r>
      <w:r w:rsidR="002854FB">
        <w:t>delle vaccinazioni</w:t>
      </w:r>
      <w:r>
        <w:t>, in Regione</w:t>
      </w:r>
      <w:r w:rsidR="00743E75">
        <w:t xml:space="preserve"> è </w:t>
      </w:r>
      <w:r>
        <w:t>attiva</w:t>
      </w:r>
      <w:r w:rsidR="00743E75">
        <w:t>, presso i Centri vaccinali delle aziende sanitarie, la somministrazione di tutti le vaccinazioni di cui al Piano Nazionale della Prevenzione Vaccinale (PNPV) secondo quanto previsto dal Calendario Regionale di cui alla DGR 890/2021. Le coperture vaccinali sono in costante aumento dopo gli anni della pandemia ed in linea con le medie nazionali.</w:t>
      </w:r>
    </w:p>
    <w:p w14:paraId="2F822673" w14:textId="1DE30CB4" w:rsidR="00743E75" w:rsidRDefault="002854FB" w:rsidP="00743E75">
      <w:pPr>
        <w:jc w:val="both"/>
      </w:pPr>
      <w:r>
        <w:t>È in</w:t>
      </w:r>
      <w:r w:rsidR="00743E75">
        <w:t xml:space="preserve"> corso</w:t>
      </w:r>
      <w:r w:rsidR="005A6818">
        <w:t xml:space="preserve">, in </w:t>
      </w:r>
      <w:r w:rsidR="00FC025F">
        <w:t>particolare, la</w:t>
      </w:r>
      <w:r w:rsidR="00743E75">
        <w:t xml:space="preserve"> campagna antinfluenzale 2024-2025 che prevede l'offerta gratuita per i cittadini aventi diritto</w:t>
      </w:r>
      <w:r w:rsidR="005A6818">
        <w:t>,</w:t>
      </w:r>
      <w:r w:rsidR="00743E75">
        <w:t xml:space="preserve"> con la possibilità di somministrazione sia presso le strutture delle aziende sanitarie, sia presso i MMG e PLS </w:t>
      </w:r>
      <w:r w:rsidR="00FC025F">
        <w:t>nonché</w:t>
      </w:r>
      <w:r w:rsidR="00743E75">
        <w:t xml:space="preserve"> anche presso le farmacie della Regione (grazie ad un accordo della Regione con Federfarma). Ad oggi </w:t>
      </w:r>
      <w:r w:rsidR="005A6818">
        <w:t xml:space="preserve">la Campagna vaccinale </w:t>
      </w:r>
      <w:r w:rsidR="00743E75">
        <w:t xml:space="preserve">ha visto la somministrazione di oltre 85.000 dosi con una </w:t>
      </w:r>
      <w:r w:rsidR="005A6818">
        <w:t>percentuale</w:t>
      </w:r>
      <w:r w:rsidR="00743E75">
        <w:t xml:space="preserve"> che ha già superato il 60% </w:t>
      </w:r>
      <w:r w:rsidR="00FC025F">
        <w:t>del totale delle</w:t>
      </w:r>
      <w:r w:rsidR="00743E75">
        <w:t xml:space="preserve"> dosi somministrate nell'anno precedente.</w:t>
      </w:r>
    </w:p>
    <w:p w14:paraId="48CE4091" w14:textId="6933B907" w:rsidR="003040AF" w:rsidRDefault="00743E75" w:rsidP="00743E75">
      <w:pPr>
        <w:jc w:val="both"/>
      </w:pPr>
      <w:r>
        <w:t>Infine, dal mese di novembre 2024</w:t>
      </w:r>
      <w:r w:rsidR="005A6818">
        <w:t xml:space="preserve">, </w:t>
      </w:r>
      <w:r>
        <w:t xml:space="preserve">la Regione ha messo </w:t>
      </w:r>
      <w:r w:rsidR="005A6818">
        <w:t>a</w:t>
      </w:r>
      <w:r>
        <w:t xml:space="preserve"> disposizione dei nuovi nati un nuovo farmaco (un anticorpo monoclonale) per </w:t>
      </w:r>
      <w:r w:rsidRPr="0059751C">
        <w:rPr>
          <w:u w:val="single"/>
        </w:rPr>
        <w:t>l'immunizzazione conto il Virus Respiratorio Sinciziale</w:t>
      </w:r>
      <w:r w:rsidR="00FC025F" w:rsidRPr="0059751C">
        <w:rPr>
          <w:u w:val="single"/>
        </w:rPr>
        <w:t>,</w:t>
      </w:r>
      <w:r w:rsidRPr="0059751C">
        <w:rPr>
          <w:u w:val="single"/>
        </w:rPr>
        <w:t xml:space="preserve"> al fine di evitare la bronchiolite (una grave patologia neonatale che comporta un</w:t>
      </w:r>
      <w:r w:rsidR="005A6818" w:rsidRPr="0059751C">
        <w:rPr>
          <w:u w:val="single"/>
        </w:rPr>
        <w:t>’</w:t>
      </w:r>
      <w:r w:rsidRPr="0059751C">
        <w:rPr>
          <w:u w:val="single"/>
        </w:rPr>
        <w:t xml:space="preserve">alta </w:t>
      </w:r>
      <w:r w:rsidR="005A6818" w:rsidRPr="0059751C">
        <w:rPr>
          <w:u w:val="single"/>
        </w:rPr>
        <w:t>percentuale</w:t>
      </w:r>
      <w:r w:rsidRPr="0059751C">
        <w:rPr>
          <w:u w:val="single"/>
        </w:rPr>
        <w:t xml:space="preserve"> di ospedalizzazione e di ricoveri in Terapia I</w:t>
      </w:r>
      <w:r w:rsidR="005A6818" w:rsidRPr="0059751C">
        <w:rPr>
          <w:u w:val="single"/>
        </w:rPr>
        <w:t>n</w:t>
      </w:r>
      <w:r w:rsidRPr="0059751C">
        <w:rPr>
          <w:u w:val="single"/>
        </w:rPr>
        <w:t>tensiva Neonatale).</w:t>
      </w:r>
      <w:r>
        <w:t xml:space="preserve"> Dai dati (non ancora ufficiali) pervenuti dalle neonatologie della Regione </w:t>
      </w:r>
      <w:r w:rsidR="001F71B4">
        <w:t>è possibile stimare una</w:t>
      </w:r>
      <w:r>
        <w:t xml:space="preserve"> copertura superiore al 90%.</w:t>
      </w:r>
    </w:p>
    <w:p w14:paraId="004E420D" w14:textId="77777777" w:rsidR="003040AF" w:rsidRDefault="003040AF">
      <w:r>
        <w:br w:type="page"/>
      </w:r>
    </w:p>
    <w:p w14:paraId="68F9CF6B" w14:textId="61F75E88" w:rsidR="00ED167C" w:rsidRPr="00C72E72" w:rsidRDefault="006050C2" w:rsidP="00ED167C">
      <w:pPr>
        <w:jc w:val="both"/>
        <w:rPr>
          <w:b/>
          <w:bCs/>
          <w:u w:val="single"/>
        </w:rPr>
      </w:pPr>
      <w:r w:rsidRPr="00C72E72">
        <w:rPr>
          <w:b/>
          <w:bCs/>
          <w:u w:val="single"/>
        </w:rPr>
        <w:lastRenderedPageBreak/>
        <w:t>PIANIFICAZIONE</w:t>
      </w:r>
    </w:p>
    <w:p w14:paraId="74ADE292" w14:textId="7A558C09" w:rsidR="00046E26" w:rsidRDefault="00046E26" w:rsidP="00046E26">
      <w:pPr>
        <w:jc w:val="both"/>
      </w:pPr>
      <w:r>
        <w:t xml:space="preserve">Il Piano sociosanitario è lo strumento principale della programmazione sanitaria e sociosanitaria; perciò, si è voluto dare avvio alle attività propedeutiche alla approvazione del nuovo piano </w:t>
      </w:r>
      <w:r w:rsidR="00FC025F">
        <w:t xml:space="preserve">atteso che quello </w:t>
      </w:r>
      <w:r>
        <w:t>vigente riguarda il periodo 2012-2015.</w:t>
      </w:r>
    </w:p>
    <w:p w14:paraId="4DD9FDCA" w14:textId="6F9661F9" w:rsidR="00046E26" w:rsidRDefault="00046E26" w:rsidP="00046E26">
      <w:pPr>
        <w:jc w:val="both"/>
      </w:pPr>
      <w:r>
        <w:t xml:space="preserve">A tale proposito si ricorda che con </w:t>
      </w:r>
      <w:r w:rsidRPr="003040AF">
        <w:rPr>
          <w:b/>
        </w:rPr>
        <w:t>DGR n. 70 del 13/2/2025</w:t>
      </w:r>
      <w:r>
        <w:t xml:space="preserve"> è stato approvato il documento programmatico per la redazione del Piano Regionale integrato della Salute e dei Servizi alla Persona e alla comunità 2026 – 2030, contenente:</w:t>
      </w:r>
    </w:p>
    <w:p w14:paraId="3EEA06E0" w14:textId="77777777" w:rsidR="00046E26" w:rsidRDefault="00046E26" w:rsidP="00046E26">
      <w:pPr>
        <w:pStyle w:val="Paragrafoelenco"/>
        <w:numPr>
          <w:ilvl w:val="0"/>
          <w:numId w:val="7"/>
        </w:numPr>
        <w:jc w:val="both"/>
      </w:pPr>
      <w:r>
        <w:t xml:space="preserve">la metodologia da adottare nella redazione del Piano, a partire dall’attuale assetto del sistema sanitario nell’ambito delle particolari condizioni geomorfologiche, sociali, anagrafiche e di contesto generale della Basilicata, improntata a principi di partecipazione democratica di tutte le istituzioni locali e i corpi intermedi coinvolti, </w:t>
      </w:r>
    </w:p>
    <w:p w14:paraId="331686B5" w14:textId="77777777" w:rsidR="00046E26" w:rsidRDefault="00046E26" w:rsidP="00046E26">
      <w:pPr>
        <w:pStyle w:val="Paragrafoelenco"/>
        <w:numPr>
          <w:ilvl w:val="0"/>
          <w:numId w:val="7"/>
        </w:numPr>
        <w:spacing w:after="0" w:line="240" w:lineRule="auto"/>
        <w:ind w:left="1077" w:hanging="357"/>
        <w:jc w:val="both"/>
      </w:pPr>
      <w:r>
        <w:t>gli obiettivi generali che si vogliono raggiungere;</w:t>
      </w:r>
    </w:p>
    <w:p w14:paraId="023AA49A" w14:textId="77777777" w:rsidR="00046E26" w:rsidRDefault="00046E26" w:rsidP="00046E26">
      <w:pPr>
        <w:pStyle w:val="Paragrafoelenco"/>
        <w:numPr>
          <w:ilvl w:val="0"/>
          <w:numId w:val="7"/>
        </w:numPr>
        <w:spacing w:after="0" w:line="240" w:lineRule="auto"/>
        <w:ind w:left="1077" w:hanging="357"/>
        <w:jc w:val="both"/>
      </w:pPr>
      <w:r>
        <w:t>un cronoprogramma di massima;</w:t>
      </w:r>
    </w:p>
    <w:p w14:paraId="3A151480" w14:textId="77777777" w:rsidR="00FC025F" w:rsidRDefault="00FC025F" w:rsidP="0078206E">
      <w:pPr>
        <w:jc w:val="both"/>
      </w:pPr>
    </w:p>
    <w:p w14:paraId="3CFF7CB8" w14:textId="517F3551" w:rsidR="00CC64DA" w:rsidRDefault="00046E26" w:rsidP="0078206E">
      <w:pPr>
        <w:jc w:val="both"/>
      </w:pPr>
      <w:r>
        <w:t xml:space="preserve">Sul fronte dell’attuazione del DM n.77/2022 </w:t>
      </w:r>
      <w:r w:rsidR="0078206E">
        <w:t xml:space="preserve">si è proceduto alla </w:t>
      </w:r>
      <w:r>
        <w:t xml:space="preserve">coprogettazione </w:t>
      </w:r>
      <w:r w:rsidR="0078206E">
        <w:t>d</w:t>
      </w:r>
      <w:r>
        <w:t>ella casa della comunità secondo il doc</w:t>
      </w:r>
      <w:r w:rsidR="0078206E">
        <w:t>umento di</w:t>
      </w:r>
      <w:r>
        <w:t xml:space="preserve"> AGENAS</w:t>
      </w:r>
      <w:r w:rsidR="0078206E" w:rsidRPr="0078206E">
        <w:t xml:space="preserve"> </w:t>
      </w:r>
      <w:r w:rsidR="0078206E">
        <w:t>ed alla attivazione entro settembre 2024 di tutte le COT previste dal POR approvato, per gli aspetti definiti nel doc</w:t>
      </w:r>
      <w:r w:rsidR="00CF34CF">
        <w:t>umento</w:t>
      </w:r>
      <w:r w:rsidR="0078206E">
        <w:t xml:space="preserve"> regionale che ne ha definito i requisiti di funzionalità</w:t>
      </w:r>
      <w:r w:rsidR="00CF34CF">
        <w:t>.</w:t>
      </w:r>
      <w:r w:rsidR="0078206E">
        <w:t xml:space="preserve"> </w:t>
      </w:r>
      <w:r w:rsidR="00CF34CF">
        <w:t>In una prospettiva a breve-medio termini</w:t>
      </w:r>
      <w:r w:rsidR="0078206E">
        <w:t xml:space="preserve"> si provvederà all’ a</w:t>
      </w:r>
      <w:r w:rsidR="0078206E" w:rsidRPr="0078206E">
        <w:t>deguamento dell’attuale rete regionale dell’ADI</w:t>
      </w:r>
      <w:r w:rsidR="0078206E">
        <w:t xml:space="preserve"> alle previsioni del predetto DM, al governo e monitoraggio dell’assistenza territoriale attraverso il sistema </w:t>
      </w:r>
      <w:proofErr w:type="spellStart"/>
      <w:r w:rsidR="0078206E">
        <w:t>Atl@nte</w:t>
      </w:r>
      <w:proofErr w:type="spellEnd"/>
      <w:r w:rsidR="0078206E">
        <w:t xml:space="preserve"> (strutture riabilitative, ADI, consultori, Hospice, strutture sociosanitarie) ed alla definizione di criteri organizzativi delle strutture territoriali (Case della comunità e ospedali della comunità) </w:t>
      </w:r>
    </w:p>
    <w:p w14:paraId="6BAAB750" w14:textId="77777777" w:rsidR="00CF34CF" w:rsidRDefault="0078206E" w:rsidP="005F7F70">
      <w:pPr>
        <w:jc w:val="both"/>
      </w:pPr>
      <w:r>
        <w:t xml:space="preserve">Sul fronte delle politiche del farmaco </w:t>
      </w:r>
      <w:r w:rsidR="005F7F70">
        <w:t>si è proceduto</w:t>
      </w:r>
      <w:r w:rsidR="00CF34CF">
        <w:t>:</w:t>
      </w:r>
    </w:p>
    <w:p w14:paraId="6F713E04" w14:textId="77777777" w:rsidR="00CF34CF" w:rsidRDefault="005F7F70" w:rsidP="00CF34CF">
      <w:pPr>
        <w:pStyle w:val="Paragrafoelenco"/>
        <w:numPr>
          <w:ilvl w:val="0"/>
          <w:numId w:val="35"/>
        </w:numPr>
        <w:jc w:val="both"/>
      </w:pPr>
      <w:r>
        <w:t>all’individuazione di alcune linee di indirizzo per il contenimento della spesa farmaceutica</w:t>
      </w:r>
      <w:r w:rsidR="00CF34CF">
        <w:t>;</w:t>
      </w:r>
    </w:p>
    <w:p w14:paraId="1E4D0F52" w14:textId="77777777" w:rsidR="00CF34CF" w:rsidRDefault="005F7F70" w:rsidP="00CF34CF">
      <w:pPr>
        <w:pStyle w:val="Paragrafoelenco"/>
        <w:numPr>
          <w:ilvl w:val="0"/>
          <w:numId w:val="35"/>
        </w:numPr>
        <w:jc w:val="both"/>
      </w:pPr>
      <w:r>
        <w:t xml:space="preserve"> all’a</w:t>
      </w:r>
      <w:r w:rsidR="00C72E72">
        <w:t xml:space="preserve">pprovazione del protocollo e del disciplinare tecnico </w:t>
      </w:r>
      <w:r w:rsidR="00CF34CF">
        <w:t>per la sperimentazione di nuovi servizi in farmacia presso le farmacie pubbliche e private convenzionate;</w:t>
      </w:r>
    </w:p>
    <w:p w14:paraId="7F930DCB" w14:textId="77777777" w:rsidR="00CF34CF" w:rsidRDefault="005F7F70" w:rsidP="00CF34CF">
      <w:pPr>
        <w:pStyle w:val="Paragrafoelenco"/>
        <w:numPr>
          <w:ilvl w:val="0"/>
          <w:numId w:val="35"/>
        </w:numPr>
        <w:jc w:val="both"/>
      </w:pPr>
      <w:r>
        <w:t xml:space="preserve"> alla </w:t>
      </w:r>
      <w:r w:rsidR="00CF34CF">
        <w:t>rimodulazione dell’accordo della distribuzione per conto dei farmaci</w:t>
      </w:r>
      <w:r w:rsidR="00C72E72">
        <w:t xml:space="preserve"> A/PHT </w:t>
      </w:r>
      <w:r w:rsidR="00CF34CF">
        <w:t>e dispensazione presidi per diabetici;</w:t>
      </w:r>
    </w:p>
    <w:p w14:paraId="0DCCD6A5" w14:textId="77777777" w:rsidR="00CF34CF" w:rsidRDefault="005F7F70" w:rsidP="00CF34CF">
      <w:pPr>
        <w:pStyle w:val="Paragrafoelenco"/>
        <w:numPr>
          <w:ilvl w:val="0"/>
          <w:numId w:val="35"/>
        </w:numPr>
        <w:jc w:val="both"/>
      </w:pPr>
      <w:r>
        <w:t xml:space="preserve"> alla d</w:t>
      </w:r>
      <w:r w:rsidR="00C72E72">
        <w:t>efinizione delle integrazioni delle linee di indirizzo per prescrizione e fornitura dei presidi per la somministrazione dell’insulina, per l’autocontrollo glicemico con glucometro e dei dispositivi CGM (sistema ibrido) e CGM real-time ai pazienti in terapia insulinica intensiva</w:t>
      </w:r>
      <w:r w:rsidR="00CF34CF">
        <w:t>;</w:t>
      </w:r>
    </w:p>
    <w:p w14:paraId="47439C8B" w14:textId="77777777" w:rsidR="00CF34CF" w:rsidRDefault="005F7F70" w:rsidP="00CF34CF">
      <w:pPr>
        <w:pStyle w:val="Paragrafoelenco"/>
        <w:numPr>
          <w:ilvl w:val="0"/>
          <w:numId w:val="35"/>
        </w:numPr>
        <w:jc w:val="both"/>
      </w:pPr>
      <w:r>
        <w:t xml:space="preserve"> alla definizione delle</w:t>
      </w:r>
      <w:r w:rsidR="00C72E72">
        <w:t xml:space="preserve"> Linee di indirizzo regionali </w:t>
      </w:r>
      <w:r>
        <w:t>per la prescrizione, erogazione, somministrazione di farmaci per la continuità terapeutica ospedale-territorio nella Regione</w:t>
      </w:r>
      <w:r w:rsidR="00CF34CF">
        <w:t>;</w:t>
      </w:r>
    </w:p>
    <w:p w14:paraId="11A34F52" w14:textId="58EE4115" w:rsidR="00C72E72" w:rsidRDefault="005F7F70" w:rsidP="00CF34CF">
      <w:pPr>
        <w:pStyle w:val="Paragrafoelenco"/>
        <w:numPr>
          <w:ilvl w:val="0"/>
          <w:numId w:val="35"/>
        </w:numPr>
        <w:jc w:val="both"/>
      </w:pPr>
      <w:r>
        <w:t xml:space="preserve"> alla definizione dell’a</w:t>
      </w:r>
      <w:r w:rsidR="00C72E72">
        <w:t xml:space="preserve">ttività regionale connessa </w:t>
      </w:r>
      <w:r>
        <w:t>a quella</w:t>
      </w:r>
      <w:r w:rsidR="00C72E72">
        <w:t xml:space="preserve"> dei gruppi tecnici per l’avvio del magazzino unico</w:t>
      </w:r>
      <w:r>
        <w:t>.</w:t>
      </w:r>
    </w:p>
    <w:p w14:paraId="76A63E38" w14:textId="77777777" w:rsidR="00FA4ED4" w:rsidRDefault="005F7F70" w:rsidP="005F7F70">
      <w:pPr>
        <w:jc w:val="both"/>
      </w:pPr>
      <w:r>
        <w:t>Fra le altre attività di programmazione rilevanti si segnalano</w:t>
      </w:r>
      <w:r w:rsidR="00FA4ED4">
        <w:t>:</w:t>
      </w:r>
    </w:p>
    <w:p w14:paraId="37C48E58" w14:textId="0A958643" w:rsidR="00FA4ED4" w:rsidRDefault="005F7F70" w:rsidP="00FA4ED4">
      <w:pPr>
        <w:pStyle w:val="Paragrafoelenco"/>
        <w:numPr>
          <w:ilvl w:val="0"/>
          <w:numId w:val="36"/>
        </w:numPr>
        <w:jc w:val="both"/>
      </w:pPr>
      <w:r>
        <w:t>la redazione del n</w:t>
      </w:r>
      <w:r w:rsidR="00C72E72">
        <w:t>omenclatore regionale delle prestazioni di specialistica ambulatoriale, esenzioni e prestazioni collegate alle patologie</w:t>
      </w:r>
      <w:r w:rsidR="00FA4ED4">
        <w:t>;</w:t>
      </w:r>
    </w:p>
    <w:p w14:paraId="5B3CF496" w14:textId="2D01C3E2" w:rsidR="006050C2" w:rsidRDefault="005F7F70" w:rsidP="00FA4ED4">
      <w:pPr>
        <w:pStyle w:val="Paragrafoelenco"/>
        <w:numPr>
          <w:ilvl w:val="0"/>
          <w:numId w:val="36"/>
        </w:numPr>
        <w:jc w:val="both"/>
      </w:pPr>
      <w:r>
        <w:t xml:space="preserve"> la definizione dei </w:t>
      </w:r>
      <w:r w:rsidR="00C72E72">
        <w:t xml:space="preserve">criteri per il fabbisogno delle strutture sociosanitarie per </w:t>
      </w:r>
      <w:r w:rsidR="00FA4ED4">
        <w:t>disabili, per</w:t>
      </w:r>
      <w:r w:rsidR="00C72E72">
        <w:t xml:space="preserve"> il fabbisogno delle strutture sociosanitarie per la salute mentale</w:t>
      </w:r>
      <w:r>
        <w:t xml:space="preserve"> e </w:t>
      </w:r>
      <w:r w:rsidR="00C72E72">
        <w:t xml:space="preserve">per il fabbisogno delle strutture sociosanitarie per </w:t>
      </w:r>
      <w:r>
        <w:t xml:space="preserve">le </w:t>
      </w:r>
      <w:r w:rsidR="00C72E72">
        <w:t>dipendenze patologiche</w:t>
      </w:r>
      <w:r w:rsidR="003D1C46">
        <w:t>.</w:t>
      </w:r>
    </w:p>
    <w:p w14:paraId="679FA16F" w14:textId="04B31A53" w:rsidR="003040AF" w:rsidRDefault="003040AF">
      <w:r>
        <w:br w:type="page"/>
      </w:r>
    </w:p>
    <w:p w14:paraId="0DE5C238" w14:textId="31021A4D" w:rsidR="00ED167C" w:rsidRPr="00AC7FF1" w:rsidRDefault="00ED167C" w:rsidP="00ED167C">
      <w:pPr>
        <w:jc w:val="both"/>
        <w:rPr>
          <w:b/>
          <w:bCs/>
          <w:u w:val="single"/>
        </w:rPr>
      </w:pPr>
      <w:r w:rsidRPr="00AC7FF1">
        <w:rPr>
          <w:b/>
          <w:bCs/>
          <w:u w:val="single"/>
        </w:rPr>
        <w:lastRenderedPageBreak/>
        <w:t>PNRR E SANITA’ DIGITALE</w:t>
      </w:r>
    </w:p>
    <w:p w14:paraId="5F2A9D3D" w14:textId="22D4898B" w:rsidR="00CC5261" w:rsidRDefault="00CC5261" w:rsidP="00CC5261">
      <w:pPr>
        <w:jc w:val="both"/>
      </w:pPr>
      <w:bookmarkStart w:id="2" w:name="_Hlk190532201"/>
      <w:r>
        <w:t xml:space="preserve">Lo scopo degli investimenti infrastrutturali e tecnologici è il potenziamento e lo </w:t>
      </w:r>
      <w:r w:rsidRPr="00D70641">
        <w:t>svilupp</w:t>
      </w:r>
      <w:r>
        <w:t>o di</w:t>
      </w:r>
      <w:r w:rsidRPr="00D70641">
        <w:t xml:space="preserve"> </w:t>
      </w:r>
      <w:r w:rsidRPr="00485B61">
        <w:rPr>
          <w:b/>
          <w:bCs/>
        </w:rPr>
        <w:t>reti di prossimità</w:t>
      </w:r>
      <w:r w:rsidRPr="00D70641">
        <w:t xml:space="preserve">, </w:t>
      </w:r>
      <w:r>
        <w:t>di</w:t>
      </w:r>
      <w:r w:rsidRPr="00D70641">
        <w:t xml:space="preserve"> </w:t>
      </w:r>
      <w:r w:rsidRPr="00485B61">
        <w:rPr>
          <w:b/>
          <w:bCs/>
        </w:rPr>
        <w:t>strutture intermedie</w:t>
      </w:r>
      <w:r w:rsidRPr="00D70641">
        <w:t xml:space="preserve"> e </w:t>
      </w:r>
      <w:r>
        <w:t>della</w:t>
      </w:r>
      <w:r w:rsidRPr="00D70641">
        <w:t xml:space="preserve"> </w:t>
      </w:r>
      <w:r w:rsidRPr="00485B61">
        <w:rPr>
          <w:b/>
          <w:bCs/>
        </w:rPr>
        <w:t>telemedicina</w:t>
      </w:r>
      <w:r w:rsidRPr="00D70641">
        <w:t xml:space="preserve"> per </w:t>
      </w:r>
      <w:r w:rsidRPr="00485B61">
        <w:rPr>
          <w:b/>
          <w:bCs/>
        </w:rPr>
        <w:t>l’assistenza sanitaria territoriale</w:t>
      </w:r>
      <w:r w:rsidRPr="00D70641">
        <w:t xml:space="preserve">, </w:t>
      </w:r>
      <w:r>
        <w:t xml:space="preserve">al fine di assicurare </w:t>
      </w:r>
      <w:r w:rsidRPr="00D70641">
        <w:t xml:space="preserve">la </w:t>
      </w:r>
      <w:r w:rsidRPr="00485B61">
        <w:rPr>
          <w:b/>
          <w:bCs/>
        </w:rPr>
        <w:t>continuità dell’assistenza</w:t>
      </w:r>
      <w:r w:rsidRPr="00D70641">
        <w:t xml:space="preserve">, la </w:t>
      </w:r>
      <w:r w:rsidRPr="00485B61">
        <w:rPr>
          <w:b/>
          <w:bCs/>
        </w:rPr>
        <w:t>multi</w:t>
      </w:r>
      <w:r w:rsidR="004940E3">
        <w:t>-</w:t>
      </w:r>
      <w:r w:rsidRPr="00485B61">
        <w:rPr>
          <w:b/>
          <w:bCs/>
        </w:rPr>
        <w:t xml:space="preserve">professionalità </w:t>
      </w:r>
      <w:r w:rsidRPr="00D70641">
        <w:t xml:space="preserve">e l’approccio multidisciplinare nella presa in carico dei cittadini e l’integrazione dei servizi ospedalieri territoriali. </w:t>
      </w:r>
    </w:p>
    <w:p w14:paraId="00DF2174" w14:textId="77777777" w:rsidR="00CC5261" w:rsidRPr="00697B0B" w:rsidRDefault="00CC5261" w:rsidP="00CC5261">
      <w:pPr>
        <w:jc w:val="both"/>
      </w:pPr>
      <w:r w:rsidRPr="00697B0B">
        <w:t>Gli investimenti nel settore della sanità devono dunque essere orientati al superamento delle “barriere” geografiche di un territorio caratterizzato da aree rurali e montane</w:t>
      </w:r>
      <w:r>
        <w:t xml:space="preserve">, tendenzialmente a bassa densità demografica, e ad assicurare </w:t>
      </w:r>
      <w:r w:rsidRPr="000949E5">
        <w:t xml:space="preserve">libero accesso </w:t>
      </w:r>
      <w:r>
        <w:t xml:space="preserve">alle cure e </w:t>
      </w:r>
      <w:r w:rsidRPr="000949E5">
        <w:t>a servizi sanitari di qualità</w:t>
      </w:r>
      <w:r>
        <w:t>.</w:t>
      </w:r>
    </w:p>
    <w:p w14:paraId="0B130F06" w14:textId="77777777" w:rsidR="00CC5261" w:rsidRDefault="00CC5261" w:rsidP="00CC5261">
      <w:r>
        <w:t xml:space="preserve">Nell’ambito della </w:t>
      </w:r>
      <w:r w:rsidRPr="00732424">
        <w:t xml:space="preserve">Missione 6 “Salute” del PNRR le riforme e gli investimenti proposti sono </w:t>
      </w:r>
      <w:r>
        <w:t>intesi</w:t>
      </w:r>
      <w:r w:rsidRPr="00732424">
        <w:t xml:space="preserve"> come un’opportunità per rendere il sistema sanitario regionale sostenibile, resiliente ed equo. </w:t>
      </w:r>
    </w:p>
    <w:p w14:paraId="75340F47" w14:textId="77777777" w:rsidR="00CC5261" w:rsidRDefault="00CC5261" w:rsidP="00CC5261">
      <w:pPr>
        <w:jc w:val="both"/>
      </w:pPr>
      <w:r>
        <w:t>Da un lato si è inteso</w:t>
      </w:r>
      <w:r w:rsidRPr="00732424">
        <w:t xml:space="preserve"> rafforzare le prestazioni erogate sul territorio grazie al potenziamento e alla creazione di </w:t>
      </w:r>
      <w:r w:rsidRPr="008B30DD">
        <w:rPr>
          <w:b/>
          <w:bCs/>
        </w:rPr>
        <w:t>strutture e presidi territoriali</w:t>
      </w:r>
      <w:r w:rsidRPr="00732424">
        <w:t>, al rafforzamento dell'</w:t>
      </w:r>
      <w:r w:rsidRPr="008B30DD">
        <w:rPr>
          <w:b/>
          <w:bCs/>
        </w:rPr>
        <w:t>assistenza domiciliare</w:t>
      </w:r>
      <w:r w:rsidRPr="00732424">
        <w:t xml:space="preserve"> e allo </w:t>
      </w:r>
      <w:r w:rsidRPr="008B30DD">
        <w:rPr>
          <w:b/>
          <w:bCs/>
        </w:rPr>
        <w:t>sviluppo della telemedicina</w:t>
      </w:r>
      <w:r w:rsidRPr="00732424">
        <w:t xml:space="preserve">, dall’altro </w:t>
      </w:r>
      <w:r w:rsidRPr="008B30DD">
        <w:rPr>
          <w:b/>
          <w:bCs/>
        </w:rPr>
        <w:t>innovare il parco tecnologico ospedaliero</w:t>
      </w:r>
      <w:r w:rsidRPr="00732424">
        <w:t xml:space="preserve">, </w:t>
      </w:r>
      <w:r w:rsidRPr="008B30DD">
        <w:rPr>
          <w:b/>
          <w:bCs/>
        </w:rPr>
        <w:t>digitalizzare il SSR</w:t>
      </w:r>
      <w:r w:rsidRPr="00732424">
        <w:t xml:space="preserve">, e investire in ricerca e </w:t>
      </w:r>
      <w:r w:rsidRPr="008B30DD">
        <w:rPr>
          <w:b/>
          <w:bCs/>
        </w:rPr>
        <w:t>formazione del personale sanitario</w:t>
      </w:r>
      <w:r w:rsidRPr="00732424">
        <w:t xml:space="preserve">. </w:t>
      </w:r>
    </w:p>
    <w:p w14:paraId="693B01AD" w14:textId="77777777" w:rsidR="00CC5261" w:rsidRDefault="00CC5261" w:rsidP="00CC5261">
      <w:pPr>
        <w:jc w:val="both"/>
      </w:pPr>
      <w:r>
        <w:t>Lo sforzo maggiore è quello di integrare i</w:t>
      </w:r>
      <w:r w:rsidRPr="00732424">
        <w:t xml:space="preserve"> servizi e i processi esistenti</w:t>
      </w:r>
      <w:r>
        <w:t xml:space="preserve"> </w:t>
      </w:r>
      <w:r w:rsidRPr="00732424">
        <w:t xml:space="preserve">con il </w:t>
      </w:r>
      <w:r w:rsidRPr="008B30DD">
        <w:rPr>
          <w:b/>
          <w:bCs/>
        </w:rPr>
        <w:t>digitale</w:t>
      </w:r>
      <w:r w:rsidRPr="00732424">
        <w:t>, al fine di render</w:t>
      </w:r>
      <w:r>
        <w:t>li più</w:t>
      </w:r>
      <w:r w:rsidRPr="00732424">
        <w:t xml:space="preserve"> efficaci ed efficienti, modellandoli sulle </w:t>
      </w:r>
      <w:r w:rsidRPr="008B30DD">
        <w:rPr>
          <w:b/>
          <w:bCs/>
        </w:rPr>
        <w:t>esigenze</w:t>
      </w:r>
      <w:r w:rsidRPr="00732424">
        <w:t xml:space="preserve"> degli </w:t>
      </w:r>
      <w:r w:rsidRPr="008B30DD">
        <w:rPr>
          <w:b/>
          <w:bCs/>
        </w:rPr>
        <w:t>operatori sanitari</w:t>
      </w:r>
      <w:r w:rsidRPr="00732424">
        <w:t xml:space="preserve"> e dei </w:t>
      </w:r>
      <w:r w:rsidRPr="008B30DD">
        <w:rPr>
          <w:b/>
          <w:bCs/>
        </w:rPr>
        <w:t>cittadini</w:t>
      </w:r>
      <w:r>
        <w:t xml:space="preserve">. </w:t>
      </w:r>
    </w:p>
    <w:p w14:paraId="17BC3B38" w14:textId="79419394" w:rsidR="00CC5261" w:rsidRDefault="00CC5261" w:rsidP="00CC5261">
      <w:pPr>
        <w:jc w:val="both"/>
      </w:pPr>
      <w:r>
        <w:t>In questa prospettiva gli investimenti programmati e finanziati con risorse rivenienti dal PNRR e da fondi statali (FSC – L</w:t>
      </w:r>
      <w:r w:rsidR="004940E3">
        <w:t>egge</w:t>
      </w:r>
      <w:r>
        <w:t xml:space="preserve"> n. 67/</w:t>
      </w:r>
      <w:r w:rsidR="004940E3">
        <w:t>19</w:t>
      </w:r>
      <w:r>
        <w:t xml:space="preserve">88) </w:t>
      </w:r>
      <w:r w:rsidRPr="00BA2620">
        <w:t>mirano a migliorare l’accesso equo ai</w:t>
      </w:r>
      <w:r>
        <w:t xml:space="preserve"> </w:t>
      </w:r>
      <w:r w:rsidRPr="00BA2620">
        <w:t>servizi sanitari nelle aree geograficamente svantaggiate, garantendo un’assistenza sanitaria di prossimità e riducendo le disuguaglianze territoriali</w:t>
      </w:r>
      <w:r>
        <w:t>.</w:t>
      </w:r>
    </w:p>
    <w:p w14:paraId="2B388001" w14:textId="77777777" w:rsidR="00CC5261" w:rsidRPr="00175241" w:rsidRDefault="00CC5261" w:rsidP="00CC5261">
      <w:pPr>
        <w:jc w:val="both"/>
      </w:pPr>
      <w:r>
        <w:t>L’</w:t>
      </w:r>
      <w:r w:rsidRPr="00175241">
        <w:t xml:space="preserve">area di intervento del PNRR - Missione 6 – Salute è focalizzata su </w:t>
      </w:r>
      <w:r>
        <w:t>più</w:t>
      </w:r>
      <w:r w:rsidRPr="00175241">
        <w:t xml:space="preserve"> obiettivi:</w:t>
      </w:r>
    </w:p>
    <w:p w14:paraId="319363BB" w14:textId="77777777" w:rsidR="00CC5261" w:rsidRDefault="00CC5261" w:rsidP="00CC5261">
      <w:pPr>
        <w:pStyle w:val="Paragrafoelenco"/>
        <w:numPr>
          <w:ilvl w:val="0"/>
          <w:numId w:val="42"/>
        </w:numPr>
        <w:jc w:val="both"/>
      </w:pPr>
      <w:r w:rsidRPr="00175241">
        <w:t xml:space="preserve">il </w:t>
      </w:r>
      <w:r w:rsidRPr="00D70641">
        <w:rPr>
          <w:b/>
          <w:bCs/>
        </w:rPr>
        <w:t>rafforzamento della prevenzione e dell’assistenza sul territorio</w:t>
      </w:r>
      <w:r w:rsidRPr="00175241">
        <w:t>, con l’integrazione tra servizi sanitari e sociali</w:t>
      </w:r>
      <w:r>
        <w:t>;</w:t>
      </w:r>
    </w:p>
    <w:p w14:paraId="7E65CDB4" w14:textId="77777777" w:rsidR="00CC5261" w:rsidRDefault="00CC5261" w:rsidP="00CC5261">
      <w:pPr>
        <w:pStyle w:val="Paragrafoelenco"/>
        <w:numPr>
          <w:ilvl w:val="0"/>
          <w:numId w:val="42"/>
        </w:numPr>
        <w:jc w:val="both"/>
      </w:pPr>
      <w:r w:rsidRPr="00175241">
        <w:t>l’</w:t>
      </w:r>
      <w:r w:rsidRPr="00D70641">
        <w:rPr>
          <w:b/>
          <w:bCs/>
        </w:rPr>
        <w:t>ammodernamento delle dotazioni tecnologiche del Servizio Sanitario Nazionale</w:t>
      </w:r>
      <w:r w:rsidRPr="00175241">
        <w:t xml:space="preserve"> (SSN)</w:t>
      </w:r>
      <w:r>
        <w:t>.</w:t>
      </w:r>
    </w:p>
    <w:p w14:paraId="22916B41" w14:textId="77777777" w:rsidR="00CC5261" w:rsidRDefault="00CC5261" w:rsidP="00CC5261">
      <w:pPr>
        <w:pStyle w:val="Paragrafoelenco"/>
        <w:numPr>
          <w:ilvl w:val="0"/>
          <w:numId w:val="42"/>
        </w:numPr>
        <w:jc w:val="both"/>
      </w:pPr>
      <w:r>
        <w:t>il p</w:t>
      </w:r>
      <w:r w:rsidRPr="00175241">
        <w:t>otenzia</w:t>
      </w:r>
      <w:r>
        <w:t>mento della raccolta, analisi ed elaborazione dei dati, anche tramite il</w:t>
      </w:r>
      <w:r w:rsidRPr="00175241">
        <w:t xml:space="preserve"> </w:t>
      </w:r>
      <w:r w:rsidRPr="00D70641">
        <w:rPr>
          <w:b/>
          <w:bCs/>
        </w:rPr>
        <w:t>Fascicolo Sanitario Elettronico</w:t>
      </w:r>
      <w:r>
        <w:t>;</w:t>
      </w:r>
    </w:p>
    <w:p w14:paraId="3FCC4FA4" w14:textId="77777777" w:rsidR="00CC5261" w:rsidRDefault="00CC5261" w:rsidP="00CC5261">
      <w:pPr>
        <w:pStyle w:val="Paragrafoelenco"/>
        <w:numPr>
          <w:ilvl w:val="0"/>
          <w:numId w:val="42"/>
        </w:numPr>
        <w:jc w:val="both"/>
      </w:pPr>
      <w:r>
        <w:t xml:space="preserve">lo </w:t>
      </w:r>
      <w:r w:rsidRPr="00175241">
        <w:t xml:space="preserve">sviluppo della </w:t>
      </w:r>
      <w:r w:rsidRPr="00D70641">
        <w:rPr>
          <w:b/>
          <w:bCs/>
        </w:rPr>
        <w:t>telemedicina</w:t>
      </w:r>
      <w:r>
        <w:t>;</w:t>
      </w:r>
    </w:p>
    <w:p w14:paraId="1C1814CE" w14:textId="77777777" w:rsidR="00CC5261" w:rsidRDefault="00CC5261" w:rsidP="00CC5261">
      <w:pPr>
        <w:pStyle w:val="Paragrafoelenco"/>
        <w:numPr>
          <w:ilvl w:val="0"/>
          <w:numId w:val="42"/>
        </w:numPr>
        <w:jc w:val="both"/>
      </w:pPr>
      <w:r>
        <w:t>l’accrescimento delle</w:t>
      </w:r>
      <w:r w:rsidRPr="00175241">
        <w:t xml:space="preserve"> </w:t>
      </w:r>
      <w:r w:rsidRPr="00D70641">
        <w:rPr>
          <w:b/>
          <w:bCs/>
        </w:rPr>
        <w:t>competenze tecniche, digitali e manageriali del personale</w:t>
      </w:r>
      <w:r w:rsidRPr="00175241">
        <w:t xml:space="preserve"> del sistema sanitario</w:t>
      </w:r>
      <w:r>
        <w:t>.</w:t>
      </w:r>
    </w:p>
    <w:p w14:paraId="62E2EE96" w14:textId="77777777" w:rsidR="00CC5261" w:rsidRDefault="00CC5261" w:rsidP="00CC5261">
      <w:pPr>
        <w:jc w:val="both"/>
      </w:pPr>
      <w:r>
        <w:t>Di seguito si riportano gli investimenti in infrastrutture, in tecnologie (apparecchiature) e nella digitalizzazione del SSR.</w:t>
      </w:r>
    </w:p>
    <w:p w14:paraId="6776B72A" w14:textId="52496B66" w:rsidR="00CC5261" w:rsidRPr="008F39B1" w:rsidRDefault="008F39B1" w:rsidP="008F39B1">
      <w:pPr>
        <w:spacing w:after="0" w:line="240" w:lineRule="auto"/>
        <w:rPr>
          <w:b/>
          <w:bCs/>
          <w:sz w:val="24"/>
          <w:szCs w:val="24"/>
          <w:u w:val="single"/>
        </w:rPr>
      </w:pPr>
      <w:r>
        <w:rPr>
          <w:b/>
          <w:bCs/>
          <w:sz w:val="24"/>
          <w:szCs w:val="24"/>
          <w:u w:val="single"/>
        </w:rPr>
        <w:t xml:space="preserve">1 - </w:t>
      </w:r>
      <w:r w:rsidR="00CC5261" w:rsidRPr="008F39B1">
        <w:rPr>
          <w:b/>
          <w:bCs/>
          <w:sz w:val="24"/>
          <w:szCs w:val="24"/>
          <w:u w:val="single"/>
        </w:rPr>
        <w:t>Investimenti in Infrastrutture</w:t>
      </w:r>
    </w:p>
    <w:p w14:paraId="505DA3FE" w14:textId="77777777" w:rsidR="00CC5261" w:rsidRPr="0067463D" w:rsidRDefault="00CC5261" w:rsidP="00CC5261">
      <w:pPr>
        <w:tabs>
          <w:tab w:val="left" w:pos="2190"/>
        </w:tabs>
        <w:spacing w:after="0" w:line="240" w:lineRule="auto"/>
        <w:rPr>
          <w:b/>
          <w:bCs/>
        </w:rPr>
      </w:pPr>
    </w:p>
    <w:p w14:paraId="33692A08" w14:textId="0250274C" w:rsidR="00CC5261" w:rsidRDefault="00CC5261" w:rsidP="00CC5261">
      <w:pPr>
        <w:pStyle w:val="Paragrafoelenco"/>
        <w:numPr>
          <w:ilvl w:val="0"/>
          <w:numId w:val="37"/>
        </w:numPr>
        <w:spacing w:after="0" w:line="240" w:lineRule="auto"/>
        <w:jc w:val="both"/>
        <w:rPr>
          <w:rFonts w:eastAsia="Times New Roman" w:cs="Times New Roman"/>
          <w:b/>
          <w:bCs/>
          <w:color w:val="000000"/>
          <w:kern w:val="0"/>
          <w:lang w:eastAsia="it-IT"/>
          <w14:ligatures w14:val="none"/>
        </w:rPr>
      </w:pPr>
      <w:r w:rsidRPr="00B5096A">
        <w:rPr>
          <w:rFonts w:eastAsia="Times New Roman" w:cs="Times New Roman"/>
          <w:b/>
          <w:bCs/>
          <w:color w:val="000000"/>
          <w:kern w:val="0"/>
          <w:lang w:eastAsia="it-IT"/>
          <w14:ligatures w14:val="none"/>
        </w:rPr>
        <w:t>Adeguamento sismico</w:t>
      </w:r>
      <w:r w:rsidR="00163CC1">
        <w:rPr>
          <w:rFonts w:eastAsia="Times New Roman" w:cs="Times New Roman"/>
          <w:b/>
          <w:bCs/>
          <w:color w:val="000000"/>
          <w:kern w:val="0"/>
          <w:lang w:eastAsia="it-IT"/>
          <w14:ligatures w14:val="none"/>
        </w:rPr>
        <w:t>, Antincendio ed</w:t>
      </w:r>
      <w:r w:rsidR="003040AF">
        <w:rPr>
          <w:rFonts w:eastAsia="Times New Roman" w:cs="Times New Roman"/>
          <w:b/>
          <w:bCs/>
          <w:color w:val="000000"/>
          <w:kern w:val="0"/>
          <w:lang w:eastAsia="it-IT"/>
          <w14:ligatures w14:val="none"/>
        </w:rPr>
        <w:t xml:space="preserve"> efficientamento energetico</w:t>
      </w:r>
    </w:p>
    <w:p w14:paraId="647E37D1" w14:textId="77777777" w:rsidR="00CC5261" w:rsidRPr="00B5096A" w:rsidRDefault="00CC5261" w:rsidP="00CC5261">
      <w:pPr>
        <w:pStyle w:val="Paragrafoelenco"/>
        <w:spacing w:after="0" w:line="240" w:lineRule="auto"/>
        <w:jc w:val="both"/>
        <w:rPr>
          <w:rFonts w:eastAsia="Times New Roman" w:cs="Times New Roman"/>
          <w:b/>
          <w:bCs/>
          <w:color w:val="000000"/>
          <w:kern w:val="0"/>
          <w:lang w:eastAsia="it-IT"/>
          <w14:ligatures w14:val="none"/>
        </w:rPr>
      </w:pPr>
    </w:p>
    <w:p w14:paraId="59302EA2" w14:textId="2CA38B83" w:rsidR="00CC5261" w:rsidRDefault="00CC5261" w:rsidP="00CC5261">
      <w:pPr>
        <w:spacing w:after="0" w:line="240" w:lineRule="auto"/>
        <w:jc w:val="both"/>
        <w:rPr>
          <w:b/>
          <w:bCs/>
          <w:u w:val="single"/>
        </w:rPr>
      </w:pPr>
      <w:r w:rsidRPr="00B5096A">
        <w:rPr>
          <w:rFonts w:eastAsia="Times New Roman" w:cs="Times New Roman"/>
          <w:color w:val="000000"/>
          <w:kern w:val="0"/>
          <w:lang w:eastAsia="it-IT"/>
          <w14:ligatures w14:val="none"/>
        </w:rPr>
        <w:t xml:space="preserve">In linea con l’obiettivo </w:t>
      </w:r>
      <w:r w:rsidRPr="00B5096A">
        <w:rPr>
          <w:rFonts w:eastAsia="Times New Roman" w:cs="Times New Roman"/>
          <w:b/>
          <w:bCs/>
          <w:color w:val="000000"/>
          <w:kern w:val="0"/>
          <w:u w:val="single"/>
          <w:lang w:eastAsia="it-IT"/>
          <w14:ligatures w14:val="none"/>
        </w:rPr>
        <w:t>di migli</w:t>
      </w:r>
      <w:r w:rsidRPr="00B5096A">
        <w:rPr>
          <w:b/>
          <w:bCs/>
          <w:u w:val="single"/>
        </w:rPr>
        <w:t xml:space="preserve">orare le infrastrutture ospedaliere, </w:t>
      </w:r>
      <w:r w:rsidR="00163CC1">
        <w:rPr>
          <w:b/>
          <w:bCs/>
          <w:u w:val="single"/>
        </w:rPr>
        <w:t>efficientarle e potenziarle</w:t>
      </w:r>
    </w:p>
    <w:p w14:paraId="2879D14C" w14:textId="039BEBFA" w:rsidR="00CC5261" w:rsidRPr="00B5096A" w:rsidRDefault="00CC5261" w:rsidP="00CC5261">
      <w:pPr>
        <w:spacing w:after="0" w:line="240" w:lineRule="auto"/>
        <w:jc w:val="both"/>
        <w:rPr>
          <w:rFonts w:eastAsia="Times New Roman" w:cs="Times New Roman"/>
          <w:b/>
          <w:bCs/>
          <w:color w:val="000000"/>
          <w:kern w:val="0"/>
          <w:lang w:eastAsia="it-IT"/>
          <w14:ligatures w14:val="none"/>
        </w:rPr>
      </w:pPr>
    </w:p>
    <w:tbl>
      <w:tblPr>
        <w:tblW w:w="9639" w:type="dxa"/>
        <w:tblCellMar>
          <w:left w:w="70" w:type="dxa"/>
          <w:right w:w="70" w:type="dxa"/>
        </w:tblCellMar>
        <w:tblLook w:val="04A0" w:firstRow="1" w:lastRow="0" w:firstColumn="1" w:lastColumn="0" w:noHBand="0" w:noVBand="1"/>
      </w:tblPr>
      <w:tblGrid>
        <w:gridCol w:w="4520"/>
        <w:gridCol w:w="1700"/>
        <w:gridCol w:w="3419"/>
      </w:tblGrid>
      <w:tr w:rsidR="003040AF" w:rsidRPr="00DC12AE" w14:paraId="505CE19A" w14:textId="77777777" w:rsidTr="00163CC1">
        <w:trPr>
          <w:trHeight w:val="300"/>
        </w:trPr>
        <w:tc>
          <w:tcPr>
            <w:tcW w:w="4520" w:type="dxa"/>
            <w:tcBorders>
              <w:top w:val="nil"/>
              <w:left w:val="nil"/>
              <w:bottom w:val="single" w:sz="8" w:space="0" w:color="9BC2E6"/>
              <w:right w:val="nil"/>
            </w:tcBorders>
            <w:shd w:val="clear" w:color="000000" w:fill="DDEBF7"/>
            <w:noWrap/>
            <w:vAlign w:val="center"/>
            <w:hideMark/>
          </w:tcPr>
          <w:p w14:paraId="22B52676" w14:textId="4BAF8F32" w:rsidR="003040AF" w:rsidRPr="00DC12AE" w:rsidRDefault="003040AF" w:rsidP="001627A4">
            <w:pPr>
              <w:spacing w:after="0" w:line="240" w:lineRule="auto"/>
              <w:rPr>
                <w:rFonts w:ascii="Garamond" w:eastAsia="Times New Roman" w:hAnsi="Garamond" w:cs="Calibri"/>
                <w:b/>
                <w:bCs/>
                <w:color w:val="000000"/>
                <w:kern w:val="0"/>
                <w:sz w:val="20"/>
                <w:szCs w:val="20"/>
                <w:lang w:eastAsia="it-IT"/>
                <w14:ligatures w14:val="none"/>
              </w:rPr>
            </w:pPr>
            <w:r>
              <w:rPr>
                <w:rFonts w:ascii="Garamond" w:eastAsia="Times New Roman" w:hAnsi="Garamond" w:cs="Calibri"/>
                <w:b/>
                <w:bCs/>
                <w:color w:val="000000"/>
                <w:kern w:val="0"/>
                <w:sz w:val="20"/>
                <w:szCs w:val="20"/>
                <w:lang w:eastAsia="it-IT"/>
                <w14:ligatures w14:val="none"/>
              </w:rPr>
              <w:t xml:space="preserve">Interventi  </w:t>
            </w:r>
          </w:p>
        </w:tc>
        <w:tc>
          <w:tcPr>
            <w:tcW w:w="1700" w:type="dxa"/>
            <w:tcBorders>
              <w:top w:val="nil"/>
              <w:left w:val="nil"/>
              <w:bottom w:val="single" w:sz="8" w:space="0" w:color="9BC2E6"/>
              <w:right w:val="nil"/>
            </w:tcBorders>
            <w:shd w:val="clear" w:color="000000" w:fill="DDEBF7"/>
          </w:tcPr>
          <w:p w14:paraId="3370358F" w14:textId="7EDB9EBD" w:rsidR="003040AF" w:rsidRPr="00DC12AE" w:rsidRDefault="003040AF" w:rsidP="00163CC1">
            <w:pPr>
              <w:spacing w:after="0" w:line="240" w:lineRule="auto"/>
              <w:jc w:val="center"/>
              <w:rPr>
                <w:rFonts w:ascii="Garamond" w:eastAsia="Times New Roman" w:hAnsi="Garamond" w:cs="Calibri"/>
                <w:b/>
                <w:bCs/>
                <w:color w:val="000000"/>
                <w:kern w:val="0"/>
                <w:sz w:val="20"/>
                <w:szCs w:val="20"/>
                <w:lang w:eastAsia="it-IT"/>
                <w14:ligatures w14:val="none"/>
              </w:rPr>
            </w:pPr>
            <w:r w:rsidRPr="00DC12AE">
              <w:rPr>
                <w:rFonts w:ascii="Garamond" w:eastAsia="Times New Roman" w:hAnsi="Garamond" w:cs="Calibri"/>
                <w:b/>
                <w:bCs/>
                <w:color w:val="000000"/>
                <w:kern w:val="0"/>
                <w:sz w:val="20"/>
                <w:szCs w:val="20"/>
                <w:lang w:eastAsia="it-IT"/>
                <w14:ligatures w14:val="none"/>
              </w:rPr>
              <w:t xml:space="preserve">Importo </w:t>
            </w:r>
          </w:p>
        </w:tc>
        <w:tc>
          <w:tcPr>
            <w:tcW w:w="3419" w:type="dxa"/>
            <w:tcBorders>
              <w:top w:val="nil"/>
              <w:left w:val="nil"/>
              <w:bottom w:val="single" w:sz="8" w:space="0" w:color="9BC2E6"/>
              <w:right w:val="nil"/>
            </w:tcBorders>
            <w:shd w:val="clear" w:color="000000" w:fill="DDEBF7"/>
            <w:noWrap/>
            <w:vAlign w:val="center"/>
            <w:hideMark/>
          </w:tcPr>
          <w:p w14:paraId="1A9139A3" w14:textId="5C970706" w:rsidR="003040AF" w:rsidRPr="00DC12AE" w:rsidRDefault="003040AF" w:rsidP="00163CC1">
            <w:pPr>
              <w:spacing w:after="0" w:line="240" w:lineRule="auto"/>
              <w:jc w:val="center"/>
              <w:rPr>
                <w:rFonts w:ascii="Garamond" w:eastAsia="Times New Roman" w:hAnsi="Garamond" w:cs="Calibri"/>
                <w:b/>
                <w:bCs/>
                <w:color w:val="000000"/>
                <w:kern w:val="0"/>
                <w:sz w:val="20"/>
                <w:szCs w:val="20"/>
                <w:lang w:eastAsia="it-IT"/>
                <w14:ligatures w14:val="none"/>
              </w:rPr>
            </w:pPr>
            <w:r>
              <w:rPr>
                <w:rFonts w:ascii="Garamond" w:eastAsia="Times New Roman" w:hAnsi="Garamond" w:cs="Calibri"/>
                <w:b/>
                <w:bCs/>
                <w:color w:val="000000"/>
                <w:kern w:val="0"/>
                <w:sz w:val="20"/>
                <w:szCs w:val="20"/>
                <w:lang w:eastAsia="it-IT"/>
                <w14:ligatures w14:val="none"/>
              </w:rPr>
              <w:t>Fonti di finanziamento</w:t>
            </w:r>
          </w:p>
        </w:tc>
      </w:tr>
      <w:tr w:rsidR="003040AF" w:rsidRPr="00DC12AE" w14:paraId="6838804B" w14:textId="77777777" w:rsidTr="00163CC1">
        <w:trPr>
          <w:trHeight w:val="288"/>
        </w:trPr>
        <w:tc>
          <w:tcPr>
            <w:tcW w:w="4520" w:type="dxa"/>
            <w:tcBorders>
              <w:top w:val="nil"/>
              <w:left w:val="nil"/>
              <w:bottom w:val="nil"/>
              <w:right w:val="nil"/>
            </w:tcBorders>
            <w:shd w:val="clear" w:color="auto" w:fill="auto"/>
            <w:noWrap/>
            <w:vAlign w:val="center"/>
            <w:hideMark/>
          </w:tcPr>
          <w:p w14:paraId="1647C46A" w14:textId="2905C43D" w:rsidR="003040AF" w:rsidRPr="00DC12AE" w:rsidRDefault="003040AF" w:rsidP="00163CC1">
            <w:pPr>
              <w:spacing w:after="0" w:line="240" w:lineRule="auto"/>
              <w:rPr>
                <w:rFonts w:ascii="Garamond" w:eastAsia="Times New Roman" w:hAnsi="Garamond" w:cs="Calibri"/>
                <w:color w:val="000000"/>
                <w:kern w:val="0"/>
                <w:sz w:val="20"/>
                <w:szCs w:val="20"/>
                <w:lang w:eastAsia="it-IT"/>
                <w14:ligatures w14:val="none"/>
              </w:rPr>
            </w:pPr>
            <w:r>
              <w:rPr>
                <w:rFonts w:ascii="Garamond" w:eastAsia="Times New Roman" w:hAnsi="Garamond" w:cs="Calibri"/>
                <w:b/>
                <w:bCs/>
                <w:color w:val="000000"/>
                <w:kern w:val="0"/>
                <w:sz w:val="20"/>
                <w:szCs w:val="20"/>
                <w:lang w:eastAsia="it-IT"/>
                <w14:ligatures w14:val="none"/>
              </w:rPr>
              <w:t>Adeguamento Sismico</w:t>
            </w:r>
            <w:r w:rsidR="00163CC1">
              <w:rPr>
                <w:rFonts w:ascii="Garamond" w:eastAsia="Times New Roman" w:hAnsi="Garamond" w:cs="Calibri"/>
                <w:b/>
                <w:bCs/>
                <w:color w:val="000000"/>
                <w:kern w:val="0"/>
                <w:sz w:val="20"/>
                <w:szCs w:val="20"/>
                <w:lang w:eastAsia="it-IT"/>
                <w14:ligatures w14:val="none"/>
              </w:rPr>
              <w:t xml:space="preserve"> </w:t>
            </w:r>
            <w:r>
              <w:rPr>
                <w:rFonts w:ascii="Garamond" w:eastAsia="Times New Roman" w:hAnsi="Garamond" w:cs="Calibri"/>
                <w:b/>
                <w:bCs/>
                <w:color w:val="000000"/>
                <w:kern w:val="0"/>
                <w:sz w:val="20"/>
                <w:szCs w:val="20"/>
                <w:lang w:eastAsia="it-IT"/>
                <w14:ligatures w14:val="none"/>
              </w:rPr>
              <w:t>Osp</w:t>
            </w:r>
            <w:r w:rsidR="00163CC1">
              <w:rPr>
                <w:rFonts w:ascii="Garamond" w:eastAsia="Times New Roman" w:hAnsi="Garamond" w:cs="Calibri"/>
                <w:b/>
                <w:bCs/>
                <w:color w:val="000000"/>
                <w:kern w:val="0"/>
                <w:sz w:val="20"/>
                <w:szCs w:val="20"/>
                <w:lang w:eastAsia="it-IT"/>
                <w14:ligatures w14:val="none"/>
              </w:rPr>
              <w:t>edali di</w:t>
            </w:r>
            <w:r>
              <w:rPr>
                <w:rFonts w:ascii="Garamond" w:eastAsia="Times New Roman" w:hAnsi="Garamond" w:cs="Calibri"/>
                <w:b/>
                <w:bCs/>
                <w:color w:val="000000"/>
                <w:kern w:val="0"/>
                <w:sz w:val="20"/>
                <w:szCs w:val="20"/>
                <w:lang w:eastAsia="it-IT"/>
                <w14:ligatures w14:val="none"/>
              </w:rPr>
              <w:t xml:space="preserve"> Tricarico – Stigliano – Melfi e Matera</w:t>
            </w:r>
          </w:p>
        </w:tc>
        <w:tc>
          <w:tcPr>
            <w:tcW w:w="1700" w:type="dxa"/>
            <w:tcBorders>
              <w:top w:val="nil"/>
              <w:left w:val="nil"/>
              <w:bottom w:val="nil"/>
              <w:right w:val="nil"/>
            </w:tcBorders>
          </w:tcPr>
          <w:p w14:paraId="5388B1DD" w14:textId="04810AB1" w:rsidR="003040AF" w:rsidRPr="00DC12AE" w:rsidRDefault="003040AF" w:rsidP="003040AF">
            <w:pPr>
              <w:spacing w:after="0" w:line="240" w:lineRule="auto"/>
              <w:jc w:val="center"/>
              <w:rPr>
                <w:rFonts w:ascii="Garamond" w:eastAsia="Times New Roman" w:hAnsi="Garamond" w:cs="Calibri"/>
                <w:color w:val="000000"/>
                <w:kern w:val="0"/>
                <w:sz w:val="20"/>
                <w:szCs w:val="20"/>
                <w:lang w:eastAsia="it-IT"/>
                <w14:ligatures w14:val="none"/>
              </w:rPr>
            </w:pPr>
            <w:r w:rsidRPr="00DC12AE">
              <w:rPr>
                <w:rFonts w:ascii="Garamond" w:eastAsia="Times New Roman" w:hAnsi="Garamond" w:cs="Calibri"/>
                <w:b/>
                <w:bCs/>
                <w:color w:val="000000"/>
                <w:kern w:val="0"/>
                <w:sz w:val="20"/>
                <w:szCs w:val="20"/>
                <w:lang w:eastAsia="it-IT"/>
                <w14:ligatures w14:val="none"/>
              </w:rPr>
              <w:t>30.774.471,07 €</w:t>
            </w:r>
          </w:p>
        </w:tc>
        <w:tc>
          <w:tcPr>
            <w:tcW w:w="3419" w:type="dxa"/>
            <w:tcBorders>
              <w:top w:val="nil"/>
              <w:left w:val="nil"/>
              <w:bottom w:val="nil"/>
              <w:right w:val="nil"/>
            </w:tcBorders>
            <w:shd w:val="clear" w:color="auto" w:fill="auto"/>
            <w:noWrap/>
            <w:vAlign w:val="center"/>
            <w:hideMark/>
          </w:tcPr>
          <w:p w14:paraId="6F340D9B" w14:textId="77777777" w:rsidR="003040AF" w:rsidRPr="008F08D9" w:rsidRDefault="003040AF" w:rsidP="001627A4">
            <w:pPr>
              <w:spacing w:after="0" w:line="240" w:lineRule="auto"/>
              <w:jc w:val="right"/>
              <w:rPr>
                <w:rFonts w:ascii="Garamond" w:eastAsia="Times New Roman" w:hAnsi="Garamond" w:cs="Calibri"/>
                <w:color w:val="000000"/>
                <w:kern w:val="0"/>
                <w:sz w:val="20"/>
                <w:szCs w:val="20"/>
                <w:lang w:val="en-US" w:eastAsia="it-IT"/>
                <w14:ligatures w14:val="none"/>
              </w:rPr>
            </w:pPr>
            <w:r w:rsidRPr="008F08D9">
              <w:rPr>
                <w:rFonts w:ascii="Garamond" w:eastAsia="Times New Roman" w:hAnsi="Garamond" w:cs="Calibri"/>
                <w:color w:val="000000"/>
                <w:kern w:val="0"/>
                <w:sz w:val="20"/>
                <w:szCs w:val="20"/>
                <w:lang w:val="en-US" w:eastAsia="it-IT"/>
                <w14:ligatures w14:val="none"/>
              </w:rPr>
              <w:t>PNRR miss 6 +F.O.I. +</w:t>
            </w:r>
          </w:p>
          <w:p w14:paraId="5A46C676" w14:textId="311434A3" w:rsidR="003040AF" w:rsidRPr="00DC12AE" w:rsidRDefault="003040AF" w:rsidP="001627A4">
            <w:pPr>
              <w:spacing w:after="0" w:line="240" w:lineRule="auto"/>
              <w:jc w:val="right"/>
              <w:rPr>
                <w:rFonts w:ascii="Garamond" w:eastAsia="Times New Roman" w:hAnsi="Garamond" w:cs="Calibri"/>
                <w:color w:val="000000"/>
                <w:kern w:val="0"/>
                <w:sz w:val="20"/>
                <w:szCs w:val="20"/>
                <w:lang w:eastAsia="it-IT"/>
                <w14:ligatures w14:val="none"/>
              </w:rPr>
            </w:pPr>
            <w:r>
              <w:rPr>
                <w:rFonts w:ascii="Garamond" w:eastAsia="Times New Roman" w:hAnsi="Garamond" w:cs="Calibri"/>
                <w:color w:val="000000"/>
                <w:kern w:val="0"/>
                <w:sz w:val="20"/>
                <w:szCs w:val="20"/>
                <w:lang w:eastAsia="it-IT"/>
                <w14:ligatures w14:val="none"/>
              </w:rPr>
              <w:t>Art. 20 L.67/88 + FESR 21-27</w:t>
            </w:r>
          </w:p>
        </w:tc>
      </w:tr>
      <w:tr w:rsidR="00163CC1" w:rsidRPr="00DC12AE" w14:paraId="7017E133" w14:textId="77777777" w:rsidTr="00163CC1">
        <w:trPr>
          <w:trHeight w:val="288"/>
        </w:trPr>
        <w:tc>
          <w:tcPr>
            <w:tcW w:w="4520" w:type="dxa"/>
            <w:tcBorders>
              <w:top w:val="nil"/>
              <w:left w:val="nil"/>
              <w:bottom w:val="nil"/>
              <w:right w:val="nil"/>
            </w:tcBorders>
            <w:shd w:val="clear" w:color="auto" w:fill="auto"/>
            <w:noWrap/>
            <w:vAlign w:val="center"/>
          </w:tcPr>
          <w:p w14:paraId="78038C2F" w14:textId="570ECA37" w:rsidR="00163CC1" w:rsidRDefault="00163CC1" w:rsidP="001627A4">
            <w:pPr>
              <w:spacing w:after="0" w:line="240" w:lineRule="auto"/>
              <w:rPr>
                <w:rFonts w:ascii="Garamond" w:eastAsia="Times New Roman" w:hAnsi="Garamond" w:cs="Calibri"/>
                <w:b/>
                <w:bCs/>
                <w:color w:val="000000"/>
                <w:kern w:val="0"/>
                <w:sz w:val="20"/>
                <w:szCs w:val="20"/>
                <w:lang w:eastAsia="it-IT"/>
                <w14:ligatures w14:val="none"/>
              </w:rPr>
            </w:pPr>
            <w:r>
              <w:rPr>
                <w:rFonts w:ascii="Garamond" w:eastAsia="Times New Roman" w:hAnsi="Garamond" w:cs="Calibri"/>
                <w:b/>
                <w:bCs/>
                <w:color w:val="000000"/>
                <w:kern w:val="0"/>
                <w:sz w:val="20"/>
                <w:szCs w:val="20"/>
                <w:lang w:eastAsia="it-IT"/>
                <w14:ligatures w14:val="none"/>
              </w:rPr>
              <w:t>Adeguamento Sismico AOR San Carlo (in corso)</w:t>
            </w:r>
          </w:p>
        </w:tc>
        <w:tc>
          <w:tcPr>
            <w:tcW w:w="1700" w:type="dxa"/>
            <w:tcBorders>
              <w:top w:val="nil"/>
              <w:left w:val="nil"/>
              <w:bottom w:val="nil"/>
              <w:right w:val="nil"/>
            </w:tcBorders>
          </w:tcPr>
          <w:p w14:paraId="3B25F1D8" w14:textId="716569D1" w:rsidR="00163CC1" w:rsidRPr="00DC12AE" w:rsidRDefault="00163CC1" w:rsidP="003040AF">
            <w:pPr>
              <w:spacing w:after="0" w:line="240" w:lineRule="auto"/>
              <w:jc w:val="center"/>
              <w:rPr>
                <w:rFonts w:ascii="Garamond" w:eastAsia="Times New Roman" w:hAnsi="Garamond" w:cs="Calibri"/>
                <w:b/>
                <w:bCs/>
                <w:color w:val="000000"/>
                <w:kern w:val="0"/>
                <w:sz w:val="20"/>
                <w:szCs w:val="20"/>
                <w:lang w:eastAsia="it-IT"/>
                <w14:ligatures w14:val="none"/>
              </w:rPr>
            </w:pPr>
            <w:r w:rsidRPr="00CB2D98">
              <w:rPr>
                <w:rFonts w:ascii="Garamond" w:eastAsia="Times New Roman" w:hAnsi="Garamond" w:cs="Calibri"/>
                <w:b/>
                <w:bCs/>
                <w:color w:val="000000"/>
                <w:kern w:val="0"/>
                <w:sz w:val="20"/>
                <w:szCs w:val="20"/>
                <w:lang w:eastAsia="it-IT"/>
                <w14:ligatures w14:val="none"/>
              </w:rPr>
              <w:t>31.911.457,78 €</w:t>
            </w:r>
          </w:p>
        </w:tc>
        <w:tc>
          <w:tcPr>
            <w:tcW w:w="3419" w:type="dxa"/>
            <w:tcBorders>
              <w:top w:val="nil"/>
              <w:left w:val="nil"/>
              <w:bottom w:val="nil"/>
              <w:right w:val="nil"/>
            </w:tcBorders>
            <w:shd w:val="clear" w:color="auto" w:fill="auto"/>
            <w:noWrap/>
            <w:vAlign w:val="center"/>
          </w:tcPr>
          <w:p w14:paraId="39BBAE3B" w14:textId="28FED74A" w:rsidR="00163CC1" w:rsidRDefault="00163CC1" w:rsidP="001627A4">
            <w:pPr>
              <w:spacing w:after="0" w:line="240" w:lineRule="auto"/>
              <w:jc w:val="right"/>
              <w:rPr>
                <w:rFonts w:ascii="Garamond" w:eastAsia="Times New Roman" w:hAnsi="Garamond" w:cs="Calibri"/>
                <w:color w:val="000000"/>
                <w:kern w:val="0"/>
                <w:sz w:val="20"/>
                <w:szCs w:val="20"/>
                <w:lang w:eastAsia="it-IT"/>
                <w14:ligatures w14:val="none"/>
              </w:rPr>
            </w:pPr>
            <w:r w:rsidRPr="00163CC1">
              <w:rPr>
                <w:rFonts w:ascii="Garamond" w:eastAsia="Times New Roman" w:hAnsi="Garamond" w:cs="Calibri"/>
                <w:color w:val="000000"/>
                <w:kern w:val="0"/>
                <w:sz w:val="20"/>
                <w:szCs w:val="20"/>
                <w:lang w:eastAsia="it-IT"/>
                <w14:ligatures w14:val="none"/>
              </w:rPr>
              <w:t>FSC 2014-2020 /OPCM “Adeguamento Sismico”</w:t>
            </w:r>
          </w:p>
        </w:tc>
      </w:tr>
      <w:tr w:rsidR="003040AF" w:rsidRPr="00DC12AE" w14:paraId="0D6A5580" w14:textId="77777777" w:rsidTr="00163CC1">
        <w:trPr>
          <w:trHeight w:val="288"/>
        </w:trPr>
        <w:tc>
          <w:tcPr>
            <w:tcW w:w="4520" w:type="dxa"/>
            <w:tcBorders>
              <w:top w:val="nil"/>
              <w:left w:val="nil"/>
              <w:bottom w:val="nil"/>
              <w:right w:val="nil"/>
            </w:tcBorders>
            <w:shd w:val="clear" w:color="auto" w:fill="auto"/>
            <w:noWrap/>
            <w:vAlign w:val="center"/>
          </w:tcPr>
          <w:p w14:paraId="4B727F12" w14:textId="6C4DD2CF" w:rsidR="003040AF" w:rsidRDefault="003040AF" w:rsidP="001627A4">
            <w:pPr>
              <w:spacing w:after="0" w:line="240" w:lineRule="auto"/>
              <w:rPr>
                <w:rFonts w:ascii="Garamond" w:eastAsia="Times New Roman" w:hAnsi="Garamond" w:cs="Calibri"/>
                <w:b/>
                <w:bCs/>
                <w:color w:val="000000"/>
                <w:kern w:val="0"/>
                <w:sz w:val="20"/>
                <w:szCs w:val="20"/>
                <w:lang w:eastAsia="it-IT"/>
                <w14:ligatures w14:val="none"/>
              </w:rPr>
            </w:pPr>
            <w:r>
              <w:rPr>
                <w:rFonts w:ascii="Garamond" w:eastAsia="Times New Roman" w:hAnsi="Garamond" w:cs="Calibri"/>
                <w:b/>
                <w:bCs/>
                <w:color w:val="000000"/>
                <w:kern w:val="0"/>
                <w:sz w:val="20"/>
                <w:szCs w:val="20"/>
                <w:lang w:eastAsia="it-IT"/>
                <w14:ligatures w14:val="none"/>
              </w:rPr>
              <w:t>Adeguamento Rete antincendio AOR S. Carlo</w:t>
            </w:r>
          </w:p>
        </w:tc>
        <w:tc>
          <w:tcPr>
            <w:tcW w:w="1700" w:type="dxa"/>
            <w:tcBorders>
              <w:top w:val="nil"/>
              <w:left w:val="nil"/>
              <w:bottom w:val="nil"/>
              <w:right w:val="nil"/>
            </w:tcBorders>
          </w:tcPr>
          <w:p w14:paraId="0281A6FE" w14:textId="1360596C" w:rsidR="003040AF" w:rsidRPr="00DC12AE" w:rsidRDefault="003040AF" w:rsidP="003040AF">
            <w:pPr>
              <w:spacing w:after="0" w:line="240" w:lineRule="auto"/>
              <w:jc w:val="center"/>
              <w:rPr>
                <w:rFonts w:ascii="Garamond" w:eastAsia="Times New Roman" w:hAnsi="Garamond" w:cs="Calibri"/>
                <w:b/>
                <w:bCs/>
                <w:color w:val="000000"/>
                <w:kern w:val="0"/>
                <w:sz w:val="20"/>
                <w:szCs w:val="20"/>
                <w:lang w:eastAsia="it-IT"/>
                <w14:ligatures w14:val="none"/>
              </w:rPr>
            </w:pPr>
            <w:r w:rsidRPr="00DC12AE">
              <w:rPr>
                <w:rFonts w:ascii="Garamond" w:eastAsia="Times New Roman" w:hAnsi="Garamond" w:cs="Calibri"/>
                <w:b/>
                <w:bCs/>
                <w:color w:val="000000"/>
                <w:kern w:val="0"/>
                <w:sz w:val="20"/>
                <w:szCs w:val="20"/>
                <w:lang w:eastAsia="it-IT"/>
                <w14:ligatures w14:val="none"/>
              </w:rPr>
              <w:t>917.018,21 €</w:t>
            </w:r>
          </w:p>
        </w:tc>
        <w:tc>
          <w:tcPr>
            <w:tcW w:w="3419" w:type="dxa"/>
            <w:tcBorders>
              <w:top w:val="nil"/>
              <w:left w:val="nil"/>
              <w:bottom w:val="nil"/>
              <w:right w:val="nil"/>
            </w:tcBorders>
            <w:shd w:val="clear" w:color="auto" w:fill="auto"/>
            <w:noWrap/>
            <w:vAlign w:val="center"/>
          </w:tcPr>
          <w:p w14:paraId="42F007DC" w14:textId="41BAB512" w:rsidR="003040AF" w:rsidRDefault="003040AF" w:rsidP="001627A4">
            <w:pPr>
              <w:spacing w:after="0" w:line="240" w:lineRule="auto"/>
              <w:jc w:val="right"/>
              <w:rPr>
                <w:rFonts w:ascii="Garamond" w:eastAsia="Times New Roman" w:hAnsi="Garamond" w:cs="Calibri"/>
                <w:color w:val="000000"/>
                <w:kern w:val="0"/>
                <w:sz w:val="20"/>
                <w:szCs w:val="20"/>
                <w:lang w:eastAsia="it-IT"/>
                <w14:ligatures w14:val="none"/>
              </w:rPr>
            </w:pPr>
            <w:r w:rsidRPr="003040AF">
              <w:rPr>
                <w:rFonts w:ascii="Garamond" w:eastAsia="Times New Roman" w:hAnsi="Garamond" w:cs="Calibri"/>
                <w:color w:val="000000"/>
                <w:kern w:val="0"/>
                <w:sz w:val="20"/>
                <w:szCs w:val="20"/>
                <w:lang w:eastAsia="it-IT"/>
                <w14:ligatures w14:val="none"/>
              </w:rPr>
              <w:t>Delibera CIPE n.16/2013</w:t>
            </w:r>
          </w:p>
        </w:tc>
      </w:tr>
      <w:tr w:rsidR="00163CC1" w:rsidRPr="00DC12AE" w14:paraId="0EB0B206" w14:textId="77777777" w:rsidTr="00163CC1">
        <w:trPr>
          <w:trHeight w:val="288"/>
        </w:trPr>
        <w:tc>
          <w:tcPr>
            <w:tcW w:w="4520" w:type="dxa"/>
            <w:tcBorders>
              <w:top w:val="nil"/>
              <w:left w:val="nil"/>
              <w:bottom w:val="nil"/>
              <w:right w:val="nil"/>
            </w:tcBorders>
            <w:shd w:val="clear" w:color="auto" w:fill="auto"/>
            <w:noWrap/>
            <w:vAlign w:val="center"/>
          </w:tcPr>
          <w:p w14:paraId="437AF04E" w14:textId="60BAD71F" w:rsidR="00163CC1" w:rsidRDefault="00163CC1" w:rsidP="00163CC1">
            <w:pPr>
              <w:spacing w:after="0" w:line="240" w:lineRule="auto"/>
              <w:rPr>
                <w:rFonts w:ascii="Garamond" w:eastAsia="Times New Roman" w:hAnsi="Garamond" w:cs="Calibri"/>
                <w:b/>
                <w:bCs/>
                <w:color w:val="000000"/>
                <w:kern w:val="0"/>
                <w:sz w:val="20"/>
                <w:szCs w:val="20"/>
                <w:lang w:eastAsia="it-IT"/>
                <w14:ligatures w14:val="none"/>
              </w:rPr>
            </w:pPr>
            <w:r w:rsidRPr="00163CC1">
              <w:rPr>
                <w:rFonts w:ascii="Garamond" w:eastAsia="Times New Roman" w:hAnsi="Garamond" w:cs="Calibri"/>
                <w:b/>
                <w:bCs/>
                <w:color w:val="000000"/>
                <w:kern w:val="0"/>
                <w:sz w:val="20"/>
                <w:szCs w:val="20"/>
                <w:lang w:eastAsia="it-IT"/>
                <w14:ligatures w14:val="none"/>
              </w:rPr>
              <w:t>Effic</w:t>
            </w:r>
            <w:r>
              <w:rPr>
                <w:rFonts w:ascii="Garamond" w:eastAsia="Times New Roman" w:hAnsi="Garamond" w:cs="Calibri"/>
                <w:b/>
                <w:bCs/>
                <w:color w:val="000000"/>
                <w:kern w:val="0"/>
                <w:sz w:val="20"/>
                <w:szCs w:val="20"/>
                <w:lang w:eastAsia="it-IT"/>
                <w14:ligatures w14:val="none"/>
              </w:rPr>
              <w:t>ientamento Energetico ASP ASM IRCCS CROB e AOR San Carlo</w:t>
            </w:r>
          </w:p>
        </w:tc>
        <w:tc>
          <w:tcPr>
            <w:tcW w:w="1700" w:type="dxa"/>
            <w:tcBorders>
              <w:top w:val="nil"/>
              <w:left w:val="nil"/>
              <w:bottom w:val="nil"/>
              <w:right w:val="nil"/>
            </w:tcBorders>
          </w:tcPr>
          <w:p w14:paraId="5E61C078" w14:textId="52FDBB59" w:rsidR="00163CC1" w:rsidRPr="00DC12AE" w:rsidRDefault="00163CC1" w:rsidP="003040AF">
            <w:pPr>
              <w:spacing w:after="0" w:line="240" w:lineRule="auto"/>
              <w:jc w:val="center"/>
              <w:rPr>
                <w:rFonts w:ascii="Garamond" w:eastAsia="Times New Roman" w:hAnsi="Garamond" w:cs="Calibri"/>
                <w:b/>
                <w:bCs/>
                <w:color w:val="000000"/>
                <w:kern w:val="0"/>
                <w:sz w:val="20"/>
                <w:szCs w:val="20"/>
                <w:lang w:eastAsia="it-IT"/>
                <w14:ligatures w14:val="none"/>
              </w:rPr>
            </w:pPr>
            <w:r>
              <w:rPr>
                <w:rFonts w:ascii="Garamond" w:eastAsia="Times New Roman" w:hAnsi="Garamond" w:cs="Calibri"/>
                <w:b/>
                <w:bCs/>
                <w:color w:val="000000"/>
                <w:kern w:val="0"/>
                <w:sz w:val="20"/>
                <w:szCs w:val="20"/>
                <w:lang w:eastAsia="it-IT"/>
                <w14:ligatures w14:val="none"/>
              </w:rPr>
              <w:t>5,730.000 €</w:t>
            </w:r>
          </w:p>
        </w:tc>
        <w:tc>
          <w:tcPr>
            <w:tcW w:w="3419" w:type="dxa"/>
            <w:tcBorders>
              <w:top w:val="nil"/>
              <w:left w:val="nil"/>
              <w:bottom w:val="nil"/>
              <w:right w:val="nil"/>
            </w:tcBorders>
            <w:shd w:val="clear" w:color="auto" w:fill="auto"/>
            <w:noWrap/>
            <w:vAlign w:val="center"/>
          </w:tcPr>
          <w:p w14:paraId="67219727" w14:textId="3A127B9A" w:rsidR="00163CC1" w:rsidRPr="003040AF" w:rsidRDefault="00163CC1" w:rsidP="001627A4">
            <w:pPr>
              <w:spacing w:after="0" w:line="240" w:lineRule="auto"/>
              <w:jc w:val="right"/>
              <w:rPr>
                <w:rFonts w:ascii="Garamond" w:eastAsia="Times New Roman" w:hAnsi="Garamond" w:cs="Calibri"/>
                <w:color w:val="000000"/>
                <w:kern w:val="0"/>
                <w:sz w:val="20"/>
                <w:szCs w:val="20"/>
                <w:lang w:eastAsia="it-IT"/>
                <w14:ligatures w14:val="none"/>
              </w:rPr>
            </w:pPr>
            <w:r w:rsidRPr="00163CC1">
              <w:rPr>
                <w:rFonts w:ascii="Garamond" w:eastAsia="Times New Roman" w:hAnsi="Garamond" w:cs="Calibri"/>
                <w:color w:val="000000"/>
                <w:kern w:val="0"/>
                <w:sz w:val="20"/>
                <w:szCs w:val="20"/>
                <w:lang w:eastAsia="it-IT"/>
                <w14:ligatures w14:val="none"/>
              </w:rPr>
              <w:t>legge di Bilancio 2020 – art. 1 commi 14 e 15 L. 160/2019</w:t>
            </w:r>
          </w:p>
        </w:tc>
      </w:tr>
      <w:tr w:rsidR="00163CC1" w:rsidRPr="00DC12AE" w14:paraId="45BA67B7" w14:textId="77777777" w:rsidTr="00163CC1">
        <w:trPr>
          <w:trHeight w:val="288"/>
        </w:trPr>
        <w:tc>
          <w:tcPr>
            <w:tcW w:w="4520" w:type="dxa"/>
            <w:tcBorders>
              <w:top w:val="nil"/>
              <w:left w:val="nil"/>
              <w:bottom w:val="nil"/>
              <w:right w:val="nil"/>
            </w:tcBorders>
            <w:shd w:val="clear" w:color="auto" w:fill="auto"/>
            <w:noWrap/>
            <w:vAlign w:val="center"/>
          </w:tcPr>
          <w:p w14:paraId="6CFCEE13" w14:textId="77777777" w:rsidR="00163CC1" w:rsidRPr="00163CC1" w:rsidRDefault="00163CC1" w:rsidP="00163CC1">
            <w:pPr>
              <w:spacing w:after="0" w:line="240" w:lineRule="auto"/>
              <w:rPr>
                <w:rFonts w:ascii="Garamond" w:eastAsia="Times New Roman" w:hAnsi="Garamond" w:cs="Calibri"/>
                <w:b/>
                <w:bCs/>
                <w:color w:val="000000"/>
                <w:kern w:val="0"/>
                <w:sz w:val="20"/>
                <w:szCs w:val="20"/>
                <w:lang w:eastAsia="it-IT"/>
                <w14:ligatures w14:val="none"/>
              </w:rPr>
            </w:pPr>
          </w:p>
        </w:tc>
        <w:tc>
          <w:tcPr>
            <w:tcW w:w="1700" w:type="dxa"/>
            <w:tcBorders>
              <w:top w:val="nil"/>
              <w:left w:val="nil"/>
              <w:bottom w:val="nil"/>
              <w:right w:val="nil"/>
            </w:tcBorders>
          </w:tcPr>
          <w:p w14:paraId="3E463C13" w14:textId="77777777" w:rsidR="00163CC1" w:rsidRDefault="00163CC1" w:rsidP="003040AF">
            <w:pPr>
              <w:spacing w:after="0" w:line="240" w:lineRule="auto"/>
              <w:jc w:val="center"/>
              <w:rPr>
                <w:rFonts w:ascii="Garamond" w:eastAsia="Times New Roman" w:hAnsi="Garamond" w:cs="Calibri"/>
                <w:b/>
                <w:bCs/>
                <w:color w:val="000000"/>
                <w:kern w:val="0"/>
                <w:sz w:val="20"/>
                <w:szCs w:val="20"/>
                <w:lang w:eastAsia="it-IT"/>
                <w14:ligatures w14:val="none"/>
              </w:rPr>
            </w:pPr>
          </w:p>
        </w:tc>
        <w:tc>
          <w:tcPr>
            <w:tcW w:w="3419" w:type="dxa"/>
            <w:tcBorders>
              <w:top w:val="nil"/>
              <w:left w:val="nil"/>
              <w:bottom w:val="nil"/>
              <w:right w:val="nil"/>
            </w:tcBorders>
            <w:shd w:val="clear" w:color="auto" w:fill="auto"/>
            <w:noWrap/>
            <w:vAlign w:val="center"/>
          </w:tcPr>
          <w:p w14:paraId="277B7168" w14:textId="77777777" w:rsidR="00163CC1" w:rsidRPr="00163CC1" w:rsidRDefault="00163CC1" w:rsidP="001627A4">
            <w:pPr>
              <w:spacing w:after="0" w:line="240" w:lineRule="auto"/>
              <w:jc w:val="right"/>
              <w:rPr>
                <w:rFonts w:ascii="Garamond" w:eastAsia="Times New Roman" w:hAnsi="Garamond" w:cs="Calibri"/>
                <w:color w:val="000000"/>
                <w:kern w:val="0"/>
                <w:sz w:val="20"/>
                <w:szCs w:val="20"/>
                <w:lang w:eastAsia="it-IT"/>
                <w14:ligatures w14:val="none"/>
              </w:rPr>
            </w:pPr>
          </w:p>
        </w:tc>
      </w:tr>
    </w:tbl>
    <w:p w14:paraId="13641A07" w14:textId="600BF30A" w:rsidR="00CC5261" w:rsidRPr="00163CC1" w:rsidRDefault="00CC5261" w:rsidP="00163CC1">
      <w:pPr>
        <w:pStyle w:val="Paragrafoelenco"/>
        <w:numPr>
          <w:ilvl w:val="0"/>
          <w:numId w:val="37"/>
        </w:numPr>
        <w:autoSpaceDE w:val="0"/>
        <w:autoSpaceDN w:val="0"/>
        <w:adjustRightInd w:val="0"/>
        <w:spacing w:after="0" w:line="240" w:lineRule="auto"/>
        <w:jc w:val="both"/>
        <w:rPr>
          <w:b/>
          <w:bCs/>
        </w:rPr>
      </w:pPr>
      <w:r w:rsidRPr="00084C08">
        <w:rPr>
          <w:b/>
          <w:bCs/>
        </w:rPr>
        <w:lastRenderedPageBreak/>
        <w:t xml:space="preserve">M6C2I1.1.1.2 - Rafforzamento strutturale SSN - (art. 2, DL 34/2020- Decreto Rilancio) </w:t>
      </w:r>
      <w:r w:rsidRPr="00163CC1">
        <w:rPr>
          <w:b/>
          <w:bCs/>
        </w:rPr>
        <w:t>Potenziamento strutturale degli ospedali con la realizzazione di:</w:t>
      </w:r>
    </w:p>
    <w:p w14:paraId="014B1080" w14:textId="77777777" w:rsidR="00CC5261" w:rsidRPr="00E20D37" w:rsidRDefault="00CC5261" w:rsidP="00CC5261">
      <w:pPr>
        <w:pStyle w:val="Paragrafoelenco"/>
        <w:numPr>
          <w:ilvl w:val="0"/>
          <w:numId w:val="44"/>
        </w:numPr>
        <w:autoSpaceDE w:val="0"/>
        <w:autoSpaceDN w:val="0"/>
        <w:adjustRightInd w:val="0"/>
        <w:spacing w:after="0" w:line="240" w:lineRule="auto"/>
        <w:jc w:val="both"/>
      </w:pPr>
      <w:r w:rsidRPr="00E20D37">
        <w:t>Posti letto in terapia intensiva (32 pl) e semi-intensiva (40 pl)</w:t>
      </w:r>
    </w:p>
    <w:p w14:paraId="37C4AC82" w14:textId="4CFEA71D" w:rsidR="00CC5261" w:rsidRPr="00E20D37" w:rsidRDefault="00CC5261" w:rsidP="00CC5261">
      <w:pPr>
        <w:pStyle w:val="Paragrafoelenco"/>
        <w:numPr>
          <w:ilvl w:val="0"/>
          <w:numId w:val="44"/>
        </w:numPr>
        <w:autoSpaceDE w:val="0"/>
        <w:autoSpaceDN w:val="0"/>
        <w:adjustRightInd w:val="0"/>
        <w:spacing w:after="0" w:line="240" w:lineRule="auto"/>
        <w:jc w:val="both"/>
      </w:pPr>
      <w:r w:rsidRPr="00E20D37">
        <w:t xml:space="preserve">Riqualificazione del Pronto Soccorso di Matera </w:t>
      </w:r>
    </w:p>
    <w:p w14:paraId="0F1AD5EF" w14:textId="24EC1F7A" w:rsidR="00CC5261" w:rsidRDefault="008F39B1" w:rsidP="00CC5261">
      <w:pPr>
        <w:autoSpaceDE w:val="0"/>
        <w:autoSpaceDN w:val="0"/>
        <w:adjustRightInd w:val="0"/>
        <w:spacing w:after="0" w:line="240" w:lineRule="auto"/>
        <w:ind w:left="372" w:firstLine="708"/>
        <w:jc w:val="both"/>
      </w:pPr>
      <w:r>
        <w:t>per</w:t>
      </w:r>
      <w:r w:rsidR="00CC5261" w:rsidRPr="00E20D37">
        <w:t xml:space="preserve"> un investimen</w:t>
      </w:r>
      <w:r>
        <w:t xml:space="preserve">to complessivo di circa </w:t>
      </w:r>
      <w:r w:rsidR="00CC5261" w:rsidRPr="008F39B1">
        <w:rPr>
          <w:b/>
        </w:rPr>
        <w:t>€ 14 ML.</w:t>
      </w:r>
      <w:r w:rsidR="00CC5261" w:rsidRPr="00E20D37">
        <w:t xml:space="preserve"> </w:t>
      </w:r>
    </w:p>
    <w:p w14:paraId="7D07D7CD" w14:textId="77777777" w:rsidR="00163CC1" w:rsidRPr="00E20D37" w:rsidRDefault="00163CC1" w:rsidP="00CC5261">
      <w:pPr>
        <w:autoSpaceDE w:val="0"/>
        <w:autoSpaceDN w:val="0"/>
        <w:adjustRightInd w:val="0"/>
        <w:spacing w:after="0" w:line="240" w:lineRule="auto"/>
        <w:ind w:left="372" w:firstLine="708"/>
        <w:jc w:val="both"/>
      </w:pPr>
    </w:p>
    <w:tbl>
      <w:tblPr>
        <w:tblW w:w="7340" w:type="dxa"/>
        <w:tblInd w:w="1154" w:type="dxa"/>
        <w:tblCellMar>
          <w:left w:w="70" w:type="dxa"/>
          <w:right w:w="70" w:type="dxa"/>
        </w:tblCellMar>
        <w:tblLook w:val="04A0" w:firstRow="1" w:lastRow="0" w:firstColumn="1" w:lastColumn="0" w:noHBand="0" w:noVBand="1"/>
      </w:tblPr>
      <w:tblGrid>
        <w:gridCol w:w="3200"/>
        <w:gridCol w:w="1920"/>
        <w:gridCol w:w="2220"/>
      </w:tblGrid>
      <w:tr w:rsidR="00CC5261" w:rsidRPr="00516C72" w14:paraId="7B57B6A3" w14:textId="77777777" w:rsidTr="008F39B1">
        <w:trPr>
          <w:trHeight w:val="300"/>
        </w:trPr>
        <w:tc>
          <w:tcPr>
            <w:tcW w:w="3200" w:type="dxa"/>
            <w:tcBorders>
              <w:top w:val="nil"/>
              <w:left w:val="nil"/>
              <w:bottom w:val="single" w:sz="8" w:space="0" w:color="9BC2E6"/>
              <w:right w:val="nil"/>
            </w:tcBorders>
            <w:shd w:val="clear" w:color="000000" w:fill="DDEBF7"/>
            <w:noWrap/>
            <w:vAlign w:val="center"/>
            <w:hideMark/>
          </w:tcPr>
          <w:p w14:paraId="462F664F" w14:textId="77777777" w:rsidR="00CC5261" w:rsidRPr="00516C72"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516C72">
              <w:rPr>
                <w:rFonts w:ascii="Garamond" w:eastAsia="Times New Roman" w:hAnsi="Garamond" w:cs="Calibri"/>
                <w:b/>
                <w:bCs/>
                <w:color w:val="000000"/>
                <w:kern w:val="0"/>
                <w:sz w:val="20"/>
                <w:szCs w:val="20"/>
                <w:lang w:eastAsia="it-IT"/>
                <w14:ligatures w14:val="none"/>
              </w:rPr>
              <w:t> </w:t>
            </w:r>
          </w:p>
        </w:tc>
        <w:tc>
          <w:tcPr>
            <w:tcW w:w="1920" w:type="dxa"/>
            <w:tcBorders>
              <w:top w:val="nil"/>
              <w:left w:val="nil"/>
              <w:bottom w:val="single" w:sz="8" w:space="0" w:color="9BC2E6"/>
              <w:right w:val="nil"/>
            </w:tcBorders>
            <w:shd w:val="clear" w:color="000000" w:fill="DDEBF7"/>
            <w:noWrap/>
            <w:vAlign w:val="center"/>
            <w:hideMark/>
          </w:tcPr>
          <w:p w14:paraId="2374B3FA" w14:textId="77777777" w:rsidR="00CC5261" w:rsidRPr="00516C72" w:rsidRDefault="00CC5261" w:rsidP="008F39B1">
            <w:pPr>
              <w:spacing w:after="0" w:line="240" w:lineRule="auto"/>
              <w:jc w:val="center"/>
              <w:rPr>
                <w:rFonts w:ascii="Garamond" w:eastAsia="Times New Roman" w:hAnsi="Garamond" w:cs="Calibri"/>
                <w:b/>
                <w:bCs/>
                <w:color w:val="000000"/>
                <w:kern w:val="0"/>
                <w:sz w:val="20"/>
                <w:szCs w:val="20"/>
                <w:lang w:eastAsia="it-IT"/>
                <w14:ligatures w14:val="none"/>
              </w:rPr>
            </w:pPr>
            <w:r w:rsidRPr="00516C72">
              <w:rPr>
                <w:rFonts w:ascii="Garamond" w:eastAsia="Times New Roman" w:hAnsi="Garamond" w:cs="Calibri"/>
                <w:b/>
                <w:bCs/>
                <w:color w:val="000000"/>
                <w:kern w:val="0"/>
                <w:sz w:val="20"/>
                <w:szCs w:val="20"/>
                <w:lang w:eastAsia="it-IT"/>
                <w14:ligatures w14:val="none"/>
              </w:rPr>
              <w:t>PL Terapia Intensiva</w:t>
            </w:r>
          </w:p>
        </w:tc>
        <w:tc>
          <w:tcPr>
            <w:tcW w:w="2220" w:type="dxa"/>
            <w:tcBorders>
              <w:top w:val="nil"/>
              <w:left w:val="nil"/>
              <w:bottom w:val="single" w:sz="8" w:space="0" w:color="9BC2E6"/>
              <w:right w:val="nil"/>
            </w:tcBorders>
            <w:shd w:val="clear" w:color="000000" w:fill="DDEBF7"/>
            <w:noWrap/>
            <w:vAlign w:val="center"/>
            <w:hideMark/>
          </w:tcPr>
          <w:p w14:paraId="4F29380A" w14:textId="77777777" w:rsidR="00CC5261" w:rsidRPr="00516C72" w:rsidRDefault="00CC5261" w:rsidP="008F39B1">
            <w:pPr>
              <w:spacing w:after="0" w:line="240" w:lineRule="auto"/>
              <w:jc w:val="center"/>
              <w:rPr>
                <w:rFonts w:ascii="Garamond" w:eastAsia="Times New Roman" w:hAnsi="Garamond" w:cs="Calibri"/>
                <w:b/>
                <w:bCs/>
                <w:color w:val="000000"/>
                <w:kern w:val="0"/>
                <w:sz w:val="20"/>
                <w:szCs w:val="20"/>
                <w:lang w:eastAsia="it-IT"/>
                <w14:ligatures w14:val="none"/>
              </w:rPr>
            </w:pPr>
            <w:r w:rsidRPr="00516C72">
              <w:rPr>
                <w:rFonts w:ascii="Garamond" w:eastAsia="Times New Roman" w:hAnsi="Garamond" w:cs="Calibri"/>
                <w:b/>
                <w:bCs/>
                <w:color w:val="000000"/>
                <w:kern w:val="0"/>
                <w:sz w:val="20"/>
                <w:szCs w:val="20"/>
                <w:lang w:eastAsia="it-IT"/>
                <w14:ligatures w14:val="none"/>
              </w:rPr>
              <w:t>PL Terapia Subintensiva</w:t>
            </w:r>
          </w:p>
        </w:tc>
      </w:tr>
      <w:tr w:rsidR="00CC5261" w:rsidRPr="00516C72" w14:paraId="169737C8" w14:textId="77777777" w:rsidTr="008F39B1">
        <w:trPr>
          <w:trHeight w:val="288"/>
        </w:trPr>
        <w:tc>
          <w:tcPr>
            <w:tcW w:w="3200" w:type="dxa"/>
            <w:tcBorders>
              <w:top w:val="nil"/>
              <w:left w:val="nil"/>
              <w:bottom w:val="nil"/>
              <w:right w:val="nil"/>
            </w:tcBorders>
            <w:shd w:val="clear" w:color="auto" w:fill="auto"/>
            <w:noWrap/>
            <w:vAlign w:val="center"/>
            <w:hideMark/>
          </w:tcPr>
          <w:p w14:paraId="6F0697B4" w14:textId="77777777" w:rsidR="00CC5261" w:rsidRPr="00516C72"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516C72">
              <w:rPr>
                <w:rFonts w:ascii="Garamond" w:eastAsia="Times New Roman" w:hAnsi="Garamond" w:cs="Calibri"/>
                <w:color w:val="000000"/>
                <w:kern w:val="0"/>
                <w:sz w:val="20"/>
                <w:szCs w:val="20"/>
                <w:lang w:eastAsia="it-IT"/>
                <w14:ligatures w14:val="none"/>
              </w:rPr>
              <w:t>AOR SAN CARLO - PO POTENZA</w:t>
            </w:r>
          </w:p>
        </w:tc>
        <w:tc>
          <w:tcPr>
            <w:tcW w:w="1920" w:type="dxa"/>
            <w:tcBorders>
              <w:top w:val="nil"/>
              <w:left w:val="nil"/>
              <w:bottom w:val="nil"/>
              <w:right w:val="nil"/>
            </w:tcBorders>
            <w:shd w:val="clear" w:color="auto" w:fill="auto"/>
            <w:noWrap/>
            <w:vAlign w:val="center"/>
            <w:hideMark/>
          </w:tcPr>
          <w:p w14:paraId="6AF6C468" w14:textId="77777777" w:rsidR="00CC5261" w:rsidRPr="00516C72"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516C72">
              <w:rPr>
                <w:rFonts w:ascii="Garamond" w:eastAsia="Times New Roman" w:hAnsi="Garamond" w:cs="Calibri"/>
                <w:color w:val="000000"/>
                <w:kern w:val="0"/>
                <w:sz w:val="20"/>
                <w:szCs w:val="20"/>
                <w:lang w:eastAsia="it-IT"/>
                <w14:ligatures w14:val="none"/>
              </w:rPr>
              <w:t>21</w:t>
            </w:r>
          </w:p>
        </w:tc>
        <w:tc>
          <w:tcPr>
            <w:tcW w:w="2220" w:type="dxa"/>
            <w:tcBorders>
              <w:top w:val="nil"/>
              <w:left w:val="nil"/>
              <w:bottom w:val="nil"/>
              <w:right w:val="nil"/>
            </w:tcBorders>
            <w:shd w:val="clear" w:color="auto" w:fill="auto"/>
            <w:noWrap/>
            <w:vAlign w:val="center"/>
            <w:hideMark/>
          </w:tcPr>
          <w:p w14:paraId="17D9B8E7" w14:textId="77777777" w:rsidR="00CC5261" w:rsidRPr="00516C72"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516C72">
              <w:rPr>
                <w:rFonts w:ascii="Garamond" w:eastAsia="Times New Roman" w:hAnsi="Garamond" w:cs="Calibri"/>
                <w:color w:val="000000"/>
                <w:kern w:val="0"/>
                <w:sz w:val="20"/>
                <w:szCs w:val="20"/>
                <w:lang w:eastAsia="it-IT"/>
                <w14:ligatures w14:val="none"/>
              </w:rPr>
              <w:t>26</w:t>
            </w:r>
          </w:p>
        </w:tc>
      </w:tr>
      <w:tr w:rsidR="00CC5261" w:rsidRPr="00516C72" w14:paraId="33264401" w14:textId="77777777" w:rsidTr="008F39B1">
        <w:trPr>
          <w:trHeight w:val="300"/>
        </w:trPr>
        <w:tc>
          <w:tcPr>
            <w:tcW w:w="3200" w:type="dxa"/>
            <w:tcBorders>
              <w:top w:val="nil"/>
              <w:left w:val="nil"/>
              <w:bottom w:val="nil"/>
              <w:right w:val="nil"/>
            </w:tcBorders>
            <w:shd w:val="clear" w:color="auto" w:fill="auto"/>
            <w:noWrap/>
            <w:vAlign w:val="center"/>
            <w:hideMark/>
          </w:tcPr>
          <w:p w14:paraId="4243C088" w14:textId="77777777" w:rsidR="00CC5261" w:rsidRPr="00516C72"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516C72">
              <w:rPr>
                <w:rFonts w:ascii="Garamond" w:eastAsia="Times New Roman" w:hAnsi="Garamond" w:cs="Calibri"/>
                <w:color w:val="000000"/>
                <w:kern w:val="0"/>
                <w:sz w:val="20"/>
                <w:szCs w:val="20"/>
                <w:lang w:eastAsia="it-IT"/>
                <w14:ligatures w14:val="none"/>
              </w:rPr>
              <w:t>ASM -PO. Madonna delle Grazie</w:t>
            </w:r>
          </w:p>
        </w:tc>
        <w:tc>
          <w:tcPr>
            <w:tcW w:w="1920" w:type="dxa"/>
            <w:tcBorders>
              <w:top w:val="nil"/>
              <w:left w:val="nil"/>
              <w:bottom w:val="nil"/>
              <w:right w:val="nil"/>
            </w:tcBorders>
            <w:shd w:val="clear" w:color="auto" w:fill="auto"/>
            <w:noWrap/>
            <w:vAlign w:val="center"/>
            <w:hideMark/>
          </w:tcPr>
          <w:p w14:paraId="3C3E092F" w14:textId="77777777" w:rsidR="00CC5261" w:rsidRPr="00516C72"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516C72">
              <w:rPr>
                <w:rFonts w:ascii="Garamond" w:eastAsia="Times New Roman" w:hAnsi="Garamond" w:cs="Calibri"/>
                <w:color w:val="000000"/>
                <w:kern w:val="0"/>
                <w:sz w:val="20"/>
                <w:szCs w:val="20"/>
                <w:lang w:eastAsia="it-IT"/>
                <w14:ligatures w14:val="none"/>
              </w:rPr>
              <w:t>11</w:t>
            </w:r>
          </w:p>
        </w:tc>
        <w:tc>
          <w:tcPr>
            <w:tcW w:w="2220" w:type="dxa"/>
            <w:tcBorders>
              <w:top w:val="nil"/>
              <w:left w:val="nil"/>
              <w:bottom w:val="nil"/>
              <w:right w:val="nil"/>
            </w:tcBorders>
            <w:shd w:val="clear" w:color="auto" w:fill="auto"/>
            <w:noWrap/>
            <w:vAlign w:val="center"/>
            <w:hideMark/>
          </w:tcPr>
          <w:p w14:paraId="32F31981" w14:textId="77777777" w:rsidR="00CC5261" w:rsidRPr="00516C72"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516C72">
              <w:rPr>
                <w:rFonts w:ascii="Garamond" w:eastAsia="Times New Roman" w:hAnsi="Garamond" w:cs="Calibri"/>
                <w:color w:val="000000"/>
                <w:kern w:val="0"/>
                <w:sz w:val="20"/>
                <w:szCs w:val="20"/>
                <w:lang w:eastAsia="it-IT"/>
                <w14:ligatures w14:val="none"/>
              </w:rPr>
              <w:t>14</w:t>
            </w:r>
          </w:p>
        </w:tc>
      </w:tr>
      <w:tr w:rsidR="00CC5261" w:rsidRPr="00516C72" w14:paraId="12D25E21" w14:textId="77777777" w:rsidTr="008F39B1">
        <w:trPr>
          <w:trHeight w:val="288"/>
        </w:trPr>
        <w:tc>
          <w:tcPr>
            <w:tcW w:w="3200" w:type="dxa"/>
            <w:tcBorders>
              <w:top w:val="single" w:sz="8" w:space="0" w:color="9BC2E6"/>
              <w:left w:val="nil"/>
              <w:bottom w:val="nil"/>
              <w:right w:val="nil"/>
            </w:tcBorders>
            <w:shd w:val="clear" w:color="000000" w:fill="DDEBF7"/>
            <w:noWrap/>
            <w:vAlign w:val="center"/>
            <w:hideMark/>
          </w:tcPr>
          <w:p w14:paraId="5E0BA18B" w14:textId="77777777" w:rsidR="00CC5261" w:rsidRPr="00516C72"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516C72">
              <w:rPr>
                <w:rFonts w:ascii="Garamond" w:eastAsia="Times New Roman" w:hAnsi="Garamond" w:cs="Calibri"/>
                <w:b/>
                <w:bCs/>
                <w:color w:val="000000"/>
                <w:kern w:val="0"/>
                <w:sz w:val="20"/>
                <w:szCs w:val="20"/>
                <w:lang w:eastAsia="it-IT"/>
                <w14:ligatures w14:val="none"/>
              </w:rPr>
              <w:t xml:space="preserve">Totale </w:t>
            </w:r>
          </w:p>
        </w:tc>
        <w:tc>
          <w:tcPr>
            <w:tcW w:w="1920" w:type="dxa"/>
            <w:tcBorders>
              <w:top w:val="single" w:sz="8" w:space="0" w:color="9BC2E6"/>
              <w:left w:val="nil"/>
              <w:bottom w:val="nil"/>
              <w:right w:val="nil"/>
            </w:tcBorders>
            <w:shd w:val="clear" w:color="000000" w:fill="DDEBF7"/>
            <w:noWrap/>
            <w:vAlign w:val="center"/>
            <w:hideMark/>
          </w:tcPr>
          <w:p w14:paraId="7F4140C3" w14:textId="77777777" w:rsidR="00CC5261" w:rsidRPr="00516C72" w:rsidRDefault="00CC5261" w:rsidP="001627A4">
            <w:pPr>
              <w:spacing w:after="0" w:line="240" w:lineRule="auto"/>
              <w:jc w:val="center"/>
              <w:rPr>
                <w:rFonts w:ascii="Garamond" w:eastAsia="Times New Roman" w:hAnsi="Garamond" w:cs="Calibri"/>
                <w:b/>
                <w:bCs/>
                <w:color w:val="000000"/>
                <w:kern w:val="0"/>
                <w:sz w:val="20"/>
                <w:szCs w:val="20"/>
                <w:lang w:eastAsia="it-IT"/>
                <w14:ligatures w14:val="none"/>
              </w:rPr>
            </w:pPr>
            <w:r w:rsidRPr="00516C72">
              <w:rPr>
                <w:rFonts w:ascii="Garamond" w:eastAsia="Times New Roman" w:hAnsi="Garamond" w:cs="Calibri"/>
                <w:b/>
                <w:bCs/>
                <w:color w:val="000000"/>
                <w:kern w:val="0"/>
                <w:sz w:val="20"/>
                <w:szCs w:val="20"/>
                <w:lang w:eastAsia="it-IT"/>
                <w14:ligatures w14:val="none"/>
              </w:rPr>
              <w:t>32</w:t>
            </w:r>
          </w:p>
        </w:tc>
        <w:tc>
          <w:tcPr>
            <w:tcW w:w="2220" w:type="dxa"/>
            <w:tcBorders>
              <w:top w:val="single" w:sz="8" w:space="0" w:color="9BC2E6"/>
              <w:left w:val="nil"/>
              <w:bottom w:val="nil"/>
              <w:right w:val="nil"/>
            </w:tcBorders>
            <w:shd w:val="clear" w:color="000000" w:fill="DDEBF7"/>
            <w:noWrap/>
            <w:vAlign w:val="center"/>
            <w:hideMark/>
          </w:tcPr>
          <w:p w14:paraId="055E6EEE" w14:textId="77777777" w:rsidR="00CC5261" w:rsidRPr="00516C72" w:rsidRDefault="00CC5261" w:rsidP="001627A4">
            <w:pPr>
              <w:spacing w:after="0" w:line="240" w:lineRule="auto"/>
              <w:jc w:val="center"/>
              <w:rPr>
                <w:rFonts w:ascii="Garamond" w:eastAsia="Times New Roman" w:hAnsi="Garamond" w:cs="Calibri"/>
                <w:b/>
                <w:bCs/>
                <w:color w:val="000000"/>
                <w:kern w:val="0"/>
                <w:sz w:val="20"/>
                <w:szCs w:val="20"/>
                <w:lang w:eastAsia="it-IT"/>
                <w14:ligatures w14:val="none"/>
              </w:rPr>
            </w:pPr>
            <w:r w:rsidRPr="00516C72">
              <w:rPr>
                <w:rFonts w:ascii="Garamond" w:eastAsia="Times New Roman" w:hAnsi="Garamond" w:cs="Calibri"/>
                <w:b/>
                <w:bCs/>
                <w:color w:val="000000"/>
                <w:kern w:val="0"/>
                <w:sz w:val="20"/>
                <w:szCs w:val="20"/>
                <w:lang w:eastAsia="it-IT"/>
                <w14:ligatures w14:val="none"/>
              </w:rPr>
              <w:t>40</w:t>
            </w:r>
          </w:p>
        </w:tc>
      </w:tr>
    </w:tbl>
    <w:p w14:paraId="2B71DE46" w14:textId="77777777" w:rsidR="00CC5261" w:rsidRDefault="00CC5261" w:rsidP="00CC5261">
      <w:pPr>
        <w:autoSpaceDE w:val="0"/>
        <w:autoSpaceDN w:val="0"/>
        <w:adjustRightInd w:val="0"/>
        <w:spacing w:after="0" w:line="240" w:lineRule="auto"/>
        <w:jc w:val="both"/>
        <w:rPr>
          <w:b/>
          <w:bCs/>
        </w:rPr>
      </w:pPr>
    </w:p>
    <w:p w14:paraId="4A68E571" w14:textId="77777777" w:rsidR="00CC5261" w:rsidRPr="00CC2F8E" w:rsidRDefault="00CC5261" w:rsidP="00CC5261">
      <w:pPr>
        <w:autoSpaceDE w:val="0"/>
        <w:autoSpaceDN w:val="0"/>
        <w:adjustRightInd w:val="0"/>
        <w:spacing w:after="0" w:line="240" w:lineRule="auto"/>
        <w:ind w:left="360"/>
        <w:jc w:val="both"/>
        <w:rPr>
          <w:rFonts w:eastAsia="Times New Roman" w:cs="Times New Roman"/>
          <w:kern w:val="0"/>
          <w:lang w:eastAsia="it-IT"/>
          <w14:ligatures w14:val="none"/>
        </w:rPr>
      </w:pPr>
      <w:r w:rsidRPr="00CC2F8E">
        <w:rPr>
          <w:rFonts w:eastAsia="Times New Roman" w:cs="Times New Roman"/>
          <w:kern w:val="0"/>
          <w:lang w:eastAsia="it-IT"/>
          <w14:ligatures w14:val="none"/>
        </w:rPr>
        <w:t xml:space="preserve">Il Programma </w:t>
      </w:r>
      <w:r w:rsidRPr="008F39B1">
        <w:rPr>
          <w:rFonts w:eastAsia="Times New Roman" w:cs="Times New Roman"/>
          <w:kern w:val="0"/>
          <w:u w:val="single"/>
          <w:lang w:eastAsia="it-IT"/>
          <w14:ligatures w14:val="none"/>
        </w:rPr>
        <w:t xml:space="preserve">è stato profondamente rivisitato nella sua struttura con l’adozione della </w:t>
      </w:r>
      <w:r w:rsidRPr="008F39B1">
        <w:rPr>
          <w:rFonts w:eastAsia="Times New Roman" w:cs="Times New Roman"/>
          <w:b/>
          <w:bCs/>
          <w:kern w:val="0"/>
          <w:u w:val="single"/>
          <w:lang w:eastAsia="it-IT"/>
          <w14:ligatures w14:val="none"/>
        </w:rPr>
        <w:t>DGR n. 742/2024</w:t>
      </w:r>
      <w:r>
        <w:rPr>
          <w:rFonts w:eastAsia="Times New Roman" w:cs="Times New Roman"/>
          <w:kern w:val="0"/>
          <w:lang w:eastAsia="it-IT"/>
          <w14:ligatures w14:val="none"/>
        </w:rPr>
        <w:t xml:space="preserve"> al fine di:</w:t>
      </w:r>
    </w:p>
    <w:p w14:paraId="3536FADD" w14:textId="77777777" w:rsidR="00CC5261" w:rsidRPr="00CC2F8E" w:rsidRDefault="00CC5261" w:rsidP="00CC5261">
      <w:pPr>
        <w:numPr>
          <w:ilvl w:val="0"/>
          <w:numId w:val="43"/>
        </w:numPr>
        <w:autoSpaceDE w:val="0"/>
        <w:autoSpaceDN w:val="0"/>
        <w:adjustRightInd w:val="0"/>
        <w:spacing w:after="0" w:line="240" w:lineRule="auto"/>
        <w:jc w:val="both"/>
        <w:rPr>
          <w:rFonts w:eastAsia="Times New Roman" w:cs="Times New Roman"/>
          <w:kern w:val="0"/>
          <w:lang w:eastAsia="it-IT"/>
          <w14:ligatures w14:val="none"/>
        </w:rPr>
      </w:pPr>
      <w:r w:rsidRPr="00CC2F8E">
        <w:rPr>
          <w:rFonts w:eastAsia="Times New Roman" w:cs="Times New Roman"/>
          <w:kern w:val="0"/>
          <w:lang w:eastAsia="it-IT"/>
          <w14:ligatures w14:val="none"/>
        </w:rPr>
        <w:t>rendere maggiormente coerenti gli interventi presenti nel Piano di riorganizzazione con gli obiettivi prefissati</w:t>
      </w:r>
      <w:r>
        <w:rPr>
          <w:rFonts w:eastAsia="Times New Roman" w:cs="Times New Roman"/>
          <w:kern w:val="0"/>
          <w:lang w:eastAsia="it-IT"/>
          <w14:ligatures w14:val="none"/>
        </w:rPr>
        <w:t xml:space="preserve"> dalla Regione Basilicata</w:t>
      </w:r>
      <w:r w:rsidRPr="00CC2F8E">
        <w:rPr>
          <w:rFonts w:eastAsia="Times New Roman" w:cs="Times New Roman"/>
          <w:kern w:val="0"/>
          <w:lang w:eastAsia="it-IT"/>
          <w14:ligatures w14:val="none"/>
        </w:rPr>
        <w:t>;</w:t>
      </w:r>
    </w:p>
    <w:p w14:paraId="1942CFD2" w14:textId="77777777" w:rsidR="00CC5261" w:rsidRPr="00CC2F8E" w:rsidRDefault="00CC5261" w:rsidP="00CC5261">
      <w:pPr>
        <w:numPr>
          <w:ilvl w:val="0"/>
          <w:numId w:val="43"/>
        </w:numPr>
        <w:autoSpaceDE w:val="0"/>
        <w:autoSpaceDN w:val="0"/>
        <w:adjustRightInd w:val="0"/>
        <w:spacing w:after="0" w:line="240" w:lineRule="auto"/>
        <w:jc w:val="both"/>
        <w:rPr>
          <w:rFonts w:eastAsia="Times New Roman" w:cs="Times New Roman"/>
          <w:kern w:val="0"/>
          <w:lang w:eastAsia="it-IT"/>
          <w14:ligatures w14:val="none"/>
        </w:rPr>
      </w:pPr>
      <w:r w:rsidRPr="00CC2F8E">
        <w:rPr>
          <w:rFonts w:eastAsia="Times New Roman" w:cs="Times New Roman"/>
          <w:kern w:val="0"/>
          <w:lang w:eastAsia="it-IT"/>
          <w14:ligatures w14:val="none"/>
        </w:rPr>
        <w:t>ottimizzare l’uso delle somme disponibili per la realizzazione del Piano di riorganizzazione della rete ospedaliera.</w:t>
      </w:r>
    </w:p>
    <w:p w14:paraId="2A7904F1" w14:textId="77777777" w:rsidR="00CC5261" w:rsidRDefault="00CC5261" w:rsidP="00CC5261">
      <w:pPr>
        <w:pStyle w:val="Paragrafoelenco"/>
        <w:numPr>
          <w:ilvl w:val="0"/>
          <w:numId w:val="37"/>
        </w:numPr>
        <w:spacing w:after="0" w:line="240" w:lineRule="auto"/>
        <w:jc w:val="both"/>
        <w:rPr>
          <w:rFonts w:eastAsia="Times New Roman" w:cs="Times New Roman"/>
          <w:b/>
          <w:bCs/>
          <w:color w:val="000000"/>
          <w:kern w:val="0"/>
          <w:lang w:eastAsia="it-IT"/>
          <w14:ligatures w14:val="none"/>
        </w:rPr>
      </w:pPr>
      <w:r w:rsidRPr="00AD4182">
        <w:rPr>
          <w:rFonts w:eastAsia="Times New Roman" w:cs="Times New Roman"/>
          <w:b/>
          <w:bCs/>
          <w:color w:val="000000"/>
          <w:kern w:val="0"/>
          <w:lang w:eastAsia="it-IT"/>
          <w14:ligatures w14:val="none"/>
        </w:rPr>
        <w:t>Ospedale di Lagonegro e di Villa d’Agri</w:t>
      </w:r>
      <w:r>
        <w:rPr>
          <w:rFonts w:eastAsia="Times New Roman" w:cs="Times New Roman"/>
          <w:b/>
          <w:bCs/>
          <w:color w:val="000000"/>
          <w:kern w:val="0"/>
          <w:lang w:eastAsia="it-IT"/>
          <w14:ligatures w14:val="none"/>
        </w:rPr>
        <w:t xml:space="preserve"> - </w:t>
      </w:r>
      <w:r w:rsidRPr="002F11D5">
        <w:rPr>
          <w:rFonts w:eastAsia="Times New Roman" w:cs="Times New Roman"/>
          <w:b/>
          <w:bCs/>
          <w:color w:val="000000"/>
          <w:kern w:val="0"/>
          <w:lang w:eastAsia="it-IT"/>
          <w14:ligatures w14:val="none"/>
        </w:rPr>
        <w:t>FSC 2021/2027</w:t>
      </w:r>
    </w:p>
    <w:p w14:paraId="7FBF6CCF" w14:textId="77777777" w:rsidR="00CC5261" w:rsidRPr="00AD4182" w:rsidRDefault="00CC5261" w:rsidP="00CC5261">
      <w:pPr>
        <w:pStyle w:val="Paragrafoelenco"/>
        <w:spacing w:after="0" w:line="240" w:lineRule="auto"/>
        <w:jc w:val="both"/>
        <w:rPr>
          <w:rFonts w:eastAsia="Times New Roman" w:cs="Times New Roman"/>
          <w:b/>
          <w:bCs/>
          <w:color w:val="000000"/>
          <w:kern w:val="0"/>
          <w:lang w:eastAsia="it-IT"/>
          <w14:ligatures w14:val="none"/>
        </w:rPr>
      </w:pPr>
    </w:p>
    <w:tbl>
      <w:tblPr>
        <w:tblW w:w="7680" w:type="dxa"/>
        <w:tblInd w:w="564" w:type="dxa"/>
        <w:tblCellMar>
          <w:left w:w="70" w:type="dxa"/>
          <w:right w:w="70" w:type="dxa"/>
        </w:tblCellMar>
        <w:tblLook w:val="04A0" w:firstRow="1" w:lastRow="0" w:firstColumn="1" w:lastColumn="0" w:noHBand="0" w:noVBand="1"/>
      </w:tblPr>
      <w:tblGrid>
        <w:gridCol w:w="5980"/>
        <w:gridCol w:w="1700"/>
      </w:tblGrid>
      <w:tr w:rsidR="00CC5261" w:rsidRPr="00B84F25" w14:paraId="52E9485A" w14:textId="77777777" w:rsidTr="001627A4">
        <w:trPr>
          <w:trHeight w:val="300"/>
        </w:trPr>
        <w:tc>
          <w:tcPr>
            <w:tcW w:w="5980" w:type="dxa"/>
            <w:tcBorders>
              <w:top w:val="nil"/>
              <w:left w:val="nil"/>
              <w:bottom w:val="single" w:sz="8" w:space="0" w:color="9BC2E6"/>
              <w:right w:val="nil"/>
            </w:tcBorders>
            <w:shd w:val="clear" w:color="000000" w:fill="DDEBF7"/>
            <w:noWrap/>
            <w:vAlign w:val="center"/>
            <w:hideMark/>
          </w:tcPr>
          <w:p w14:paraId="6DBE4A8A" w14:textId="77777777" w:rsidR="00CC5261" w:rsidRPr="00B84F25"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B84F25">
              <w:rPr>
                <w:rFonts w:ascii="Garamond" w:eastAsia="Times New Roman" w:hAnsi="Garamond" w:cs="Calibri"/>
                <w:b/>
                <w:bCs/>
                <w:color w:val="000000"/>
                <w:kern w:val="0"/>
                <w:sz w:val="20"/>
                <w:szCs w:val="20"/>
                <w:lang w:eastAsia="it-IT"/>
                <w14:ligatures w14:val="none"/>
              </w:rPr>
              <w:t>FSC 2021/2027</w:t>
            </w:r>
          </w:p>
        </w:tc>
        <w:tc>
          <w:tcPr>
            <w:tcW w:w="1700" w:type="dxa"/>
            <w:tcBorders>
              <w:top w:val="nil"/>
              <w:left w:val="nil"/>
              <w:bottom w:val="single" w:sz="8" w:space="0" w:color="9BC2E6"/>
              <w:right w:val="nil"/>
            </w:tcBorders>
            <w:shd w:val="clear" w:color="000000" w:fill="DDEBF7"/>
            <w:noWrap/>
            <w:vAlign w:val="center"/>
            <w:hideMark/>
          </w:tcPr>
          <w:p w14:paraId="383E8E63" w14:textId="77777777" w:rsidR="00CC5261" w:rsidRPr="00B84F25" w:rsidRDefault="00CC5261" w:rsidP="001627A4">
            <w:pPr>
              <w:spacing w:after="0" w:line="240" w:lineRule="auto"/>
              <w:jc w:val="center"/>
              <w:rPr>
                <w:rFonts w:ascii="Garamond" w:eastAsia="Times New Roman" w:hAnsi="Garamond" w:cs="Calibri"/>
                <w:b/>
                <w:bCs/>
                <w:color w:val="000000"/>
                <w:kern w:val="0"/>
                <w:sz w:val="20"/>
                <w:szCs w:val="20"/>
                <w:lang w:eastAsia="it-IT"/>
                <w14:ligatures w14:val="none"/>
              </w:rPr>
            </w:pPr>
            <w:r w:rsidRPr="00B84F25">
              <w:rPr>
                <w:rFonts w:ascii="Garamond" w:eastAsia="Times New Roman" w:hAnsi="Garamond" w:cs="Calibri"/>
                <w:b/>
                <w:bCs/>
                <w:color w:val="000000"/>
                <w:kern w:val="0"/>
                <w:sz w:val="20"/>
                <w:szCs w:val="20"/>
                <w:lang w:eastAsia="it-IT"/>
                <w14:ligatures w14:val="none"/>
              </w:rPr>
              <w:t>Importo finanziato</w:t>
            </w:r>
          </w:p>
        </w:tc>
      </w:tr>
      <w:tr w:rsidR="00CC5261" w:rsidRPr="00B84F25" w14:paraId="54312F84" w14:textId="77777777" w:rsidTr="001627A4">
        <w:trPr>
          <w:trHeight w:val="288"/>
        </w:trPr>
        <w:tc>
          <w:tcPr>
            <w:tcW w:w="5980" w:type="dxa"/>
            <w:tcBorders>
              <w:top w:val="nil"/>
              <w:left w:val="nil"/>
              <w:bottom w:val="nil"/>
              <w:right w:val="nil"/>
            </w:tcBorders>
            <w:shd w:val="clear" w:color="auto" w:fill="auto"/>
            <w:noWrap/>
            <w:vAlign w:val="center"/>
            <w:hideMark/>
          </w:tcPr>
          <w:p w14:paraId="5A897D1C" w14:textId="77777777" w:rsidR="00CC5261" w:rsidRPr="00B84F25"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B84F25">
              <w:rPr>
                <w:rFonts w:ascii="Garamond" w:eastAsia="Times New Roman" w:hAnsi="Garamond" w:cs="Calibri"/>
                <w:color w:val="000000"/>
                <w:kern w:val="0"/>
                <w:sz w:val="20"/>
                <w:szCs w:val="20"/>
                <w:lang w:eastAsia="it-IT"/>
                <w14:ligatures w14:val="none"/>
              </w:rPr>
              <w:t xml:space="preserve">A.O.R. San Carlo </w:t>
            </w:r>
            <w:r>
              <w:rPr>
                <w:rFonts w:ascii="Garamond" w:eastAsia="Times New Roman" w:hAnsi="Garamond" w:cs="Calibri"/>
                <w:color w:val="000000"/>
                <w:kern w:val="0"/>
                <w:sz w:val="20"/>
                <w:szCs w:val="20"/>
                <w:lang w:eastAsia="it-IT"/>
                <w14:ligatures w14:val="none"/>
              </w:rPr>
              <w:t>-</w:t>
            </w:r>
            <w:r w:rsidRPr="00B84F25">
              <w:rPr>
                <w:rFonts w:ascii="Garamond" w:eastAsia="Times New Roman" w:hAnsi="Garamond" w:cs="Calibri"/>
                <w:color w:val="000000"/>
                <w:kern w:val="0"/>
                <w:sz w:val="20"/>
                <w:szCs w:val="20"/>
                <w:lang w:eastAsia="it-IT"/>
                <w14:ligatures w14:val="none"/>
              </w:rPr>
              <w:t>Primo Padiglione del nuovo Ospedale di Lagonegro</w:t>
            </w:r>
          </w:p>
        </w:tc>
        <w:tc>
          <w:tcPr>
            <w:tcW w:w="1700" w:type="dxa"/>
            <w:tcBorders>
              <w:top w:val="nil"/>
              <w:left w:val="nil"/>
              <w:bottom w:val="nil"/>
              <w:right w:val="nil"/>
            </w:tcBorders>
            <w:shd w:val="clear" w:color="auto" w:fill="auto"/>
            <w:noWrap/>
            <w:vAlign w:val="center"/>
            <w:hideMark/>
          </w:tcPr>
          <w:p w14:paraId="679181E5" w14:textId="77777777" w:rsidR="00CC5261" w:rsidRPr="00B84F25"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B84F25">
              <w:rPr>
                <w:rFonts w:ascii="Garamond" w:eastAsia="Times New Roman" w:hAnsi="Garamond" w:cs="Calibri"/>
                <w:color w:val="000000"/>
                <w:kern w:val="0"/>
                <w:sz w:val="20"/>
                <w:szCs w:val="20"/>
                <w:lang w:eastAsia="it-IT"/>
                <w14:ligatures w14:val="none"/>
              </w:rPr>
              <w:t xml:space="preserve"> € 34 ML </w:t>
            </w:r>
          </w:p>
        </w:tc>
      </w:tr>
      <w:tr w:rsidR="00CC5261" w:rsidRPr="00B84F25" w14:paraId="1219BE9E" w14:textId="77777777" w:rsidTr="001627A4">
        <w:trPr>
          <w:trHeight w:val="300"/>
        </w:trPr>
        <w:tc>
          <w:tcPr>
            <w:tcW w:w="5980" w:type="dxa"/>
            <w:tcBorders>
              <w:top w:val="nil"/>
              <w:left w:val="nil"/>
              <w:bottom w:val="nil"/>
              <w:right w:val="nil"/>
            </w:tcBorders>
            <w:shd w:val="clear" w:color="auto" w:fill="auto"/>
            <w:noWrap/>
            <w:vAlign w:val="center"/>
            <w:hideMark/>
          </w:tcPr>
          <w:p w14:paraId="7DF8C86B" w14:textId="77777777" w:rsidR="00CC5261" w:rsidRPr="00B84F25"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B84F25">
              <w:rPr>
                <w:rFonts w:ascii="Garamond" w:eastAsia="Times New Roman" w:hAnsi="Garamond" w:cs="Calibri"/>
                <w:color w:val="000000"/>
                <w:kern w:val="0"/>
                <w:sz w:val="20"/>
                <w:szCs w:val="20"/>
                <w:lang w:eastAsia="it-IT"/>
                <w14:ligatures w14:val="none"/>
              </w:rPr>
              <w:t>A.O.R. San Carlo - Completamento Ospedale di Villa D'Agri</w:t>
            </w:r>
          </w:p>
        </w:tc>
        <w:tc>
          <w:tcPr>
            <w:tcW w:w="1700" w:type="dxa"/>
            <w:tcBorders>
              <w:top w:val="nil"/>
              <w:left w:val="nil"/>
              <w:bottom w:val="nil"/>
              <w:right w:val="nil"/>
            </w:tcBorders>
            <w:shd w:val="clear" w:color="auto" w:fill="auto"/>
            <w:noWrap/>
            <w:vAlign w:val="center"/>
            <w:hideMark/>
          </w:tcPr>
          <w:p w14:paraId="4C2DBF89" w14:textId="77777777" w:rsidR="00CC5261" w:rsidRPr="00B84F25"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B84F25">
              <w:rPr>
                <w:rFonts w:ascii="Garamond" w:eastAsia="Times New Roman" w:hAnsi="Garamond" w:cs="Calibri"/>
                <w:color w:val="000000"/>
                <w:kern w:val="0"/>
                <w:sz w:val="20"/>
                <w:szCs w:val="20"/>
                <w:lang w:eastAsia="it-IT"/>
                <w14:ligatures w14:val="none"/>
              </w:rPr>
              <w:t xml:space="preserve"> € 11 ML </w:t>
            </w:r>
          </w:p>
        </w:tc>
      </w:tr>
      <w:tr w:rsidR="00CC5261" w:rsidRPr="00B84F25" w14:paraId="2702E26E" w14:textId="77777777" w:rsidTr="001627A4">
        <w:trPr>
          <w:trHeight w:val="288"/>
        </w:trPr>
        <w:tc>
          <w:tcPr>
            <w:tcW w:w="5980" w:type="dxa"/>
            <w:tcBorders>
              <w:top w:val="single" w:sz="8" w:space="0" w:color="9BC2E6"/>
              <w:left w:val="nil"/>
              <w:bottom w:val="single" w:sz="8" w:space="0" w:color="9BC2E6"/>
              <w:right w:val="nil"/>
            </w:tcBorders>
            <w:shd w:val="clear" w:color="000000" w:fill="DDEBF7"/>
            <w:noWrap/>
            <w:vAlign w:val="center"/>
            <w:hideMark/>
          </w:tcPr>
          <w:p w14:paraId="00B270B2" w14:textId="77777777" w:rsidR="00CC5261" w:rsidRPr="00B84F25"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B84F25">
              <w:rPr>
                <w:rFonts w:ascii="Garamond" w:eastAsia="Times New Roman" w:hAnsi="Garamond" w:cs="Calibri"/>
                <w:b/>
                <w:bCs/>
                <w:color w:val="000000"/>
                <w:kern w:val="0"/>
                <w:sz w:val="20"/>
                <w:szCs w:val="20"/>
                <w:lang w:eastAsia="it-IT"/>
                <w14:ligatures w14:val="none"/>
              </w:rPr>
              <w:t>Totale complessivo</w:t>
            </w:r>
          </w:p>
        </w:tc>
        <w:tc>
          <w:tcPr>
            <w:tcW w:w="1700" w:type="dxa"/>
            <w:tcBorders>
              <w:top w:val="single" w:sz="8" w:space="0" w:color="9BC2E6"/>
              <w:left w:val="nil"/>
              <w:bottom w:val="single" w:sz="8" w:space="0" w:color="9BC2E6"/>
              <w:right w:val="nil"/>
            </w:tcBorders>
            <w:shd w:val="clear" w:color="000000" w:fill="DDEBF7"/>
            <w:noWrap/>
            <w:vAlign w:val="center"/>
            <w:hideMark/>
          </w:tcPr>
          <w:p w14:paraId="589A001B" w14:textId="77777777" w:rsidR="00CC5261" w:rsidRPr="00B84F25" w:rsidRDefault="00CC5261" w:rsidP="001627A4">
            <w:pPr>
              <w:spacing w:after="0" w:line="240" w:lineRule="auto"/>
              <w:jc w:val="right"/>
              <w:rPr>
                <w:rFonts w:ascii="Garamond" w:eastAsia="Times New Roman" w:hAnsi="Garamond" w:cs="Calibri"/>
                <w:b/>
                <w:bCs/>
                <w:color w:val="000000"/>
                <w:kern w:val="0"/>
                <w:sz w:val="20"/>
                <w:szCs w:val="20"/>
                <w:lang w:eastAsia="it-IT"/>
                <w14:ligatures w14:val="none"/>
              </w:rPr>
            </w:pPr>
            <w:r w:rsidRPr="00B84F25">
              <w:rPr>
                <w:rFonts w:ascii="Garamond" w:eastAsia="Times New Roman" w:hAnsi="Garamond" w:cs="Calibri"/>
                <w:b/>
                <w:bCs/>
                <w:color w:val="000000"/>
                <w:kern w:val="0"/>
                <w:sz w:val="20"/>
                <w:szCs w:val="20"/>
                <w:lang w:eastAsia="it-IT"/>
                <w14:ligatures w14:val="none"/>
              </w:rPr>
              <w:t>€ 45 ML</w:t>
            </w:r>
          </w:p>
        </w:tc>
      </w:tr>
      <w:tr w:rsidR="00CC5261" w:rsidRPr="00B84F25" w14:paraId="46BB3865" w14:textId="77777777" w:rsidTr="001627A4">
        <w:trPr>
          <w:trHeight w:val="288"/>
        </w:trPr>
        <w:tc>
          <w:tcPr>
            <w:tcW w:w="5980" w:type="dxa"/>
            <w:tcBorders>
              <w:top w:val="single" w:sz="8" w:space="0" w:color="9BC2E6"/>
              <w:left w:val="nil"/>
              <w:bottom w:val="nil"/>
              <w:right w:val="nil"/>
            </w:tcBorders>
            <w:shd w:val="clear" w:color="auto" w:fill="auto"/>
            <w:noWrap/>
            <w:vAlign w:val="center"/>
          </w:tcPr>
          <w:p w14:paraId="34B55401" w14:textId="77777777" w:rsidR="00CC5261" w:rsidRPr="00B84F25" w:rsidRDefault="00CC5261" w:rsidP="001627A4">
            <w:pPr>
              <w:spacing w:after="0" w:line="240" w:lineRule="auto"/>
              <w:rPr>
                <w:rFonts w:ascii="Garamond" w:eastAsia="Times New Roman" w:hAnsi="Garamond" w:cs="Calibri"/>
                <w:b/>
                <w:bCs/>
                <w:color w:val="000000"/>
                <w:kern w:val="0"/>
                <w:sz w:val="18"/>
                <w:szCs w:val="18"/>
                <w:lang w:eastAsia="it-IT"/>
                <w14:ligatures w14:val="none"/>
              </w:rPr>
            </w:pPr>
            <w:r w:rsidRPr="00B84F25">
              <w:rPr>
                <w:rFonts w:ascii="Garamond" w:eastAsia="Times New Roman" w:hAnsi="Garamond" w:cs="Calibri"/>
                <w:b/>
                <w:bCs/>
                <w:color w:val="000000"/>
                <w:kern w:val="0"/>
                <w:sz w:val="18"/>
                <w:szCs w:val="18"/>
                <w:lang w:eastAsia="it-IT"/>
                <w14:ligatures w14:val="none"/>
              </w:rPr>
              <w:t>In progettazione</w:t>
            </w:r>
          </w:p>
        </w:tc>
        <w:tc>
          <w:tcPr>
            <w:tcW w:w="1700" w:type="dxa"/>
            <w:tcBorders>
              <w:top w:val="single" w:sz="8" w:space="0" w:color="9BC2E6"/>
              <w:left w:val="nil"/>
              <w:bottom w:val="nil"/>
              <w:right w:val="nil"/>
            </w:tcBorders>
            <w:shd w:val="clear" w:color="auto" w:fill="auto"/>
            <w:noWrap/>
            <w:vAlign w:val="center"/>
          </w:tcPr>
          <w:p w14:paraId="2B646D20" w14:textId="77777777" w:rsidR="00CC5261" w:rsidRPr="00B84F25" w:rsidRDefault="00CC5261" w:rsidP="001627A4">
            <w:pPr>
              <w:spacing w:after="0" w:line="240" w:lineRule="auto"/>
              <w:rPr>
                <w:rFonts w:ascii="Garamond" w:eastAsia="Times New Roman" w:hAnsi="Garamond" w:cs="Calibri"/>
                <w:b/>
                <w:bCs/>
                <w:color w:val="000000"/>
                <w:kern w:val="0"/>
                <w:sz w:val="18"/>
                <w:szCs w:val="18"/>
                <w:lang w:eastAsia="it-IT"/>
                <w14:ligatures w14:val="none"/>
              </w:rPr>
            </w:pPr>
          </w:p>
        </w:tc>
      </w:tr>
    </w:tbl>
    <w:p w14:paraId="409A4E8D" w14:textId="77777777" w:rsidR="00792AD5" w:rsidRDefault="00792AD5" w:rsidP="00CC5261">
      <w:pPr>
        <w:spacing w:after="0" w:line="240" w:lineRule="auto"/>
        <w:rPr>
          <w:bCs/>
        </w:rPr>
      </w:pPr>
    </w:p>
    <w:p w14:paraId="46BF603D" w14:textId="36DEFE86" w:rsidR="008F39B1" w:rsidRDefault="00792AD5" w:rsidP="00896FB2">
      <w:pPr>
        <w:spacing w:after="0" w:line="240" w:lineRule="auto"/>
        <w:ind w:left="709"/>
        <w:jc w:val="both"/>
        <w:rPr>
          <w:bCs/>
        </w:rPr>
      </w:pPr>
      <w:r w:rsidRPr="002A5309">
        <w:rPr>
          <w:bCs/>
        </w:rPr>
        <w:t xml:space="preserve">In merito </w:t>
      </w:r>
      <w:r w:rsidRPr="00F278A5">
        <w:rPr>
          <w:b/>
          <w:bCs/>
        </w:rPr>
        <w:t>all’Ospedale di Lagonegro,</w:t>
      </w:r>
      <w:r w:rsidRPr="002A5309">
        <w:rPr>
          <w:bCs/>
        </w:rPr>
        <w:t xml:space="preserve"> l’assessorato ha dato disposizioni all’ASP di procedere con la massima urgenza all’aggiornamento prezzi del </w:t>
      </w:r>
      <w:r w:rsidR="007F7EEE">
        <w:rPr>
          <w:bCs/>
        </w:rPr>
        <w:t xml:space="preserve">progetto esecutivo relativo al </w:t>
      </w:r>
      <w:r w:rsidR="007F7EEE" w:rsidRPr="00F278A5">
        <w:rPr>
          <w:b/>
          <w:bCs/>
        </w:rPr>
        <w:t>p</w:t>
      </w:r>
      <w:r w:rsidRPr="00F278A5">
        <w:rPr>
          <w:b/>
          <w:bCs/>
        </w:rPr>
        <w:t xml:space="preserve">rimo intervento -  </w:t>
      </w:r>
      <w:r w:rsidR="007F7EEE" w:rsidRPr="00F278A5">
        <w:rPr>
          <w:b/>
          <w:bCs/>
        </w:rPr>
        <w:t>p</w:t>
      </w:r>
      <w:r w:rsidRPr="00F278A5">
        <w:rPr>
          <w:b/>
          <w:bCs/>
        </w:rPr>
        <w:t>rimo lotto</w:t>
      </w:r>
      <w:r w:rsidRPr="002A5309">
        <w:rPr>
          <w:bCs/>
        </w:rPr>
        <w:t xml:space="preserve"> (riguardante la nuova centrale termica e la costruzione del Padiglione A - dell’importo originario di 13 </w:t>
      </w:r>
      <w:proofErr w:type="spellStart"/>
      <w:r w:rsidRPr="002A5309">
        <w:rPr>
          <w:bCs/>
        </w:rPr>
        <w:t>Meuro</w:t>
      </w:r>
      <w:proofErr w:type="spellEnd"/>
      <w:r w:rsidRPr="002A5309">
        <w:rPr>
          <w:bCs/>
        </w:rPr>
        <w:t xml:space="preserve"> che dovrebbe incrementarsi di circa il 40% pe</w:t>
      </w:r>
      <w:r w:rsidR="007F7EEE">
        <w:rPr>
          <w:bCs/>
        </w:rPr>
        <w:t xml:space="preserve">r un importo finale di circa </w:t>
      </w:r>
      <w:r w:rsidR="007F7EEE" w:rsidRPr="007F7EEE">
        <w:rPr>
          <w:b/>
          <w:bCs/>
        </w:rPr>
        <w:t xml:space="preserve">18,2 </w:t>
      </w:r>
      <w:proofErr w:type="spellStart"/>
      <w:r w:rsidRPr="007F7EEE">
        <w:rPr>
          <w:b/>
          <w:bCs/>
        </w:rPr>
        <w:t>Meuro</w:t>
      </w:r>
      <w:proofErr w:type="spellEnd"/>
      <w:r w:rsidRPr="002A5309">
        <w:rPr>
          <w:bCs/>
        </w:rPr>
        <w:t xml:space="preserve">) al fine di poter consentire la pubblicazione del bando di gara per l’appalto dei lavori entro il primo semestre 2025. </w:t>
      </w:r>
    </w:p>
    <w:p w14:paraId="798C5ACB" w14:textId="77777777" w:rsidR="00896FB2" w:rsidRPr="002A5309" w:rsidRDefault="00896FB2" w:rsidP="00896FB2">
      <w:pPr>
        <w:spacing w:after="0" w:line="240" w:lineRule="auto"/>
        <w:ind w:left="709"/>
        <w:jc w:val="both"/>
        <w:rPr>
          <w:bCs/>
        </w:rPr>
      </w:pPr>
    </w:p>
    <w:p w14:paraId="0B992424" w14:textId="235EF68E" w:rsidR="007F7EEE" w:rsidRDefault="007F7EEE" w:rsidP="007F7EEE">
      <w:pPr>
        <w:spacing w:after="0" w:line="240" w:lineRule="auto"/>
        <w:ind w:left="709"/>
        <w:jc w:val="both"/>
        <w:rPr>
          <w:bCs/>
        </w:rPr>
      </w:pPr>
      <w:r w:rsidRPr="007F7EEE">
        <w:rPr>
          <w:bCs/>
        </w:rPr>
        <w:t xml:space="preserve">Parallelamente </w:t>
      </w:r>
      <w:r>
        <w:rPr>
          <w:bCs/>
        </w:rPr>
        <w:t>occorrerà</w:t>
      </w:r>
      <w:r w:rsidRPr="007F7EEE">
        <w:rPr>
          <w:bCs/>
        </w:rPr>
        <w:t xml:space="preserve"> darà mandato alla SUARB di procedere all’espletamento delle procedure di gara per l’affidamento dei servizi di ingegneria relativi al </w:t>
      </w:r>
      <w:r w:rsidRPr="00F278A5">
        <w:rPr>
          <w:b/>
          <w:bCs/>
        </w:rPr>
        <w:t>primo intervento secondo lotto</w:t>
      </w:r>
      <w:r w:rsidRPr="007F7EEE">
        <w:rPr>
          <w:bCs/>
        </w:rPr>
        <w:t xml:space="preserve"> (</w:t>
      </w:r>
      <w:r>
        <w:rPr>
          <w:bCs/>
        </w:rPr>
        <w:t xml:space="preserve">per la realizzazione delle sale operatorie del padiglione A, </w:t>
      </w:r>
      <w:r w:rsidRPr="007F7EEE">
        <w:rPr>
          <w:bCs/>
        </w:rPr>
        <w:t xml:space="preserve">dell’importo originario di 9,1 </w:t>
      </w:r>
      <w:proofErr w:type="spellStart"/>
      <w:r w:rsidRPr="007F7EEE">
        <w:rPr>
          <w:bCs/>
        </w:rPr>
        <w:t>Meuro</w:t>
      </w:r>
      <w:proofErr w:type="spellEnd"/>
      <w:r w:rsidRPr="007F7EEE">
        <w:rPr>
          <w:bCs/>
        </w:rPr>
        <w:t xml:space="preserve"> che potrebbe incrementarsi di circa il 40% per un importo finale di circa </w:t>
      </w:r>
      <w:r w:rsidRPr="007F7EEE">
        <w:rPr>
          <w:b/>
          <w:bCs/>
        </w:rPr>
        <w:t>13Meuro</w:t>
      </w:r>
      <w:r w:rsidRPr="007F7EEE">
        <w:rPr>
          <w:bCs/>
        </w:rPr>
        <w:t>), anch’esso finanziato con le risorse FSC 2021/2027 (34Meuro).</w:t>
      </w:r>
    </w:p>
    <w:p w14:paraId="75543C78" w14:textId="77777777" w:rsidR="007F7EEE" w:rsidRPr="007F7EEE" w:rsidRDefault="007F7EEE" w:rsidP="007F7EEE">
      <w:pPr>
        <w:spacing w:after="0" w:line="240" w:lineRule="auto"/>
        <w:ind w:left="709"/>
        <w:jc w:val="both"/>
        <w:rPr>
          <w:bCs/>
        </w:rPr>
      </w:pPr>
    </w:p>
    <w:p w14:paraId="0D0C31CD" w14:textId="23337757" w:rsidR="007F7EEE" w:rsidRPr="007F7EEE" w:rsidRDefault="007F7EEE" w:rsidP="007F7EEE">
      <w:pPr>
        <w:spacing w:after="0" w:line="240" w:lineRule="auto"/>
        <w:ind w:left="709"/>
        <w:jc w:val="both"/>
        <w:rPr>
          <w:bCs/>
        </w:rPr>
      </w:pPr>
      <w:bookmarkStart w:id="3" w:name="_Hlk188951131"/>
      <w:r w:rsidRPr="007F7EEE">
        <w:rPr>
          <w:bCs/>
        </w:rPr>
        <w:t xml:space="preserve">Per quanto concerne </w:t>
      </w:r>
      <w:r w:rsidRPr="00F278A5">
        <w:rPr>
          <w:b/>
          <w:bCs/>
        </w:rPr>
        <w:t>l’intervento n. 2</w:t>
      </w:r>
      <w:bookmarkStart w:id="4" w:name="_Hlk188951384"/>
      <w:bookmarkEnd w:id="3"/>
      <w:r>
        <w:rPr>
          <w:bCs/>
        </w:rPr>
        <w:t xml:space="preserve"> - </w:t>
      </w:r>
      <w:r w:rsidRPr="007F7EEE">
        <w:rPr>
          <w:bCs/>
        </w:rPr>
        <w:t xml:space="preserve">demolizione attuale ospedale e costruzione Padiglioni B) e C) dell’importo complessivo di </w:t>
      </w:r>
      <w:r w:rsidRPr="007F7EEE">
        <w:rPr>
          <w:b/>
          <w:bCs/>
        </w:rPr>
        <w:t xml:space="preserve">55,4 </w:t>
      </w:r>
      <w:proofErr w:type="spellStart"/>
      <w:r w:rsidRPr="007F7EEE">
        <w:rPr>
          <w:b/>
          <w:bCs/>
        </w:rPr>
        <w:t>Meuro</w:t>
      </w:r>
      <w:bookmarkEnd w:id="4"/>
      <w:proofErr w:type="spellEnd"/>
      <w:r w:rsidRPr="007F7EEE">
        <w:rPr>
          <w:bCs/>
        </w:rPr>
        <w:t xml:space="preserve">, ad oggi sono disponibili le risorse di cui all’art. 20 Legge n.67/88, per un importo previsto nell’Accordo di Programma del 19/01/2000 e poi Decretato dal Ministero della Salute nel 2005 di euro 29.979.832,37 oltre la quota regionale di euro 1.577.749,99 finanziata con mutuo Cassa DD.PP., per un totale di euro </w:t>
      </w:r>
      <w:r w:rsidRPr="007F7EEE">
        <w:rPr>
          <w:b/>
          <w:bCs/>
        </w:rPr>
        <w:t>31.557.582,36</w:t>
      </w:r>
      <w:r w:rsidRPr="007F7EEE">
        <w:rPr>
          <w:bCs/>
        </w:rPr>
        <w:t>.</w:t>
      </w:r>
      <w:r w:rsidR="00F278A5">
        <w:rPr>
          <w:bCs/>
        </w:rPr>
        <w:t xml:space="preserve"> Si dovranno reperire le risorse residue necessarie.</w:t>
      </w:r>
    </w:p>
    <w:p w14:paraId="27DF4C35" w14:textId="77777777" w:rsidR="007F7EEE" w:rsidRPr="007F7EEE" w:rsidRDefault="007F7EEE" w:rsidP="007F7EEE">
      <w:pPr>
        <w:spacing w:after="0" w:line="240" w:lineRule="auto"/>
        <w:ind w:left="709"/>
        <w:jc w:val="both"/>
        <w:rPr>
          <w:bCs/>
        </w:rPr>
      </w:pPr>
    </w:p>
    <w:p w14:paraId="01B6E21D" w14:textId="4BF103B9" w:rsidR="00792AD5" w:rsidRDefault="007F7EEE" w:rsidP="007F7EEE">
      <w:pPr>
        <w:spacing w:after="0" w:line="240" w:lineRule="auto"/>
        <w:ind w:left="709"/>
        <w:jc w:val="both"/>
        <w:rPr>
          <w:bCs/>
        </w:rPr>
      </w:pPr>
      <w:r w:rsidRPr="007F7EEE">
        <w:rPr>
          <w:bCs/>
        </w:rPr>
        <w:t xml:space="preserve">Per quanto concerne </w:t>
      </w:r>
      <w:r w:rsidRPr="00F278A5">
        <w:rPr>
          <w:b/>
          <w:bCs/>
        </w:rPr>
        <w:t>l’intervento n. 3</w:t>
      </w:r>
      <w:r w:rsidRPr="007F7EEE">
        <w:rPr>
          <w:bCs/>
        </w:rPr>
        <w:t xml:space="preserve"> (parcheggio multipiano) dell’importo complessivo di </w:t>
      </w:r>
      <w:r w:rsidRPr="00380C37">
        <w:rPr>
          <w:b/>
          <w:bCs/>
        </w:rPr>
        <w:t xml:space="preserve">11,1 </w:t>
      </w:r>
      <w:proofErr w:type="spellStart"/>
      <w:r w:rsidRPr="00380C37">
        <w:rPr>
          <w:b/>
          <w:bCs/>
        </w:rPr>
        <w:t>Meuro</w:t>
      </w:r>
      <w:proofErr w:type="spellEnd"/>
      <w:r w:rsidRPr="007F7EEE">
        <w:rPr>
          <w:bCs/>
        </w:rPr>
        <w:t xml:space="preserve"> </w:t>
      </w:r>
      <w:r w:rsidR="00380C37">
        <w:rPr>
          <w:bCs/>
        </w:rPr>
        <w:t xml:space="preserve">si </w:t>
      </w:r>
      <w:r w:rsidR="00F278A5">
        <w:rPr>
          <w:bCs/>
        </w:rPr>
        <w:t xml:space="preserve">dovranno </w:t>
      </w:r>
      <w:r w:rsidR="00380C37">
        <w:rPr>
          <w:bCs/>
        </w:rPr>
        <w:t>reperiranno</w:t>
      </w:r>
      <w:r w:rsidRPr="007F7EEE">
        <w:rPr>
          <w:bCs/>
        </w:rPr>
        <w:t xml:space="preserve"> le risorse finanziarie</w:t>
      </w:r>
      <w:r w:rsidR="00B72096">
        <w:rPr>
          <w:bCs/>
        </w:rPr>
        <w:t>.</w:t>
      </w:r>
    </w:p>
    <w:p w14:paraId="7828AA31" w14:textId="416EA585" w:rsidR="004D4B06" w:rsidRDefault="004D4B06" w:rsidP="007F7EEE">
      <w:pPr>
        <w:spacing w:after="0" w:line="240" w:lineRule="auto"/>
        <w:ind w:left="709"/>
        <w:jc w:val="both"/>
        <w:rPr>
          <w:bCs/>
        </w:rPr>
      </w:pPr>
    </w:p>
    <w:p w14:paraId="4CD0B303" w14:textId="42C6223E" w:rsidR="004D4B06" w:rsidRPr="007F7EEE" w:rsidRDefault="004D4B06" w:rsidP="007F7EEE">
      <w:pPr>
        <w:spacing w:after="0" w:line="240" w:lineRule="auto"/>
        <w:ind w:left="709"/>
        <w:jc w:val="both"/>
        <w:rPr>
          <w:bCs/>
        </w:rPr>
      </w:pPr>
      <w:r>
        <w:rPr>
          <w:bCs/>
        </w:rPr>
        <w:t>P</w:t>
      </w:r>
      <w:r w:rsidRPr="004D4B06">
        <w:rPr>
          <w:bCs/>
        </w:rPr>
        <w:t xml:space="preserve">er </w:t>
      </w:r>
      <w:r w:rsidRPr="004D4B06">
        <w:rPr>
          <w:b/>
          <w:bCs/>
          <w:u w:val="single"/>
        </w:rPr>
        <w:t>l’elisuperficie di Lagonegro</w:t>
      </w:r>
      <w:r w:rsidRPr="004D4B06">
        <w:rPr>
          <w:bCs/>
        </w:rPr>
        <w:t>, dopo aver effettuato numerose studi di fattibilità su numerosi siti è stata individuata un’area idonea dal punto di vista fisico per la quale sono in corso le verifiche di idoneità aereonautica</w:t>
      </w:r>
      <w:r>
        <w:rPr>
          <w:bCs/>
        </w:rPr>
        <w:t xml:space="preserve">. L’importo complessivo del progetto è di </w:t>
      </w:r>
      <w:r w:rsidRPr="004D4B06">
        <w:rPr>
          <w:b/>
          <w:bCs/>
        </w:rPr>
        <w:t>1 Mln</w:t>
      </w:r>
      <w:r>
        <w:rPr>
          <w:bCs/>
        </w:rPr>
        <w:t xml:space="preserve"> €.</w:t>
      </w:r>
    </w:p>
    <w:p w14:paraId="540A7004" w14:textId="77777777" w:rsidR="00792AD5" w:rsidRDefault="00792AD5" w:rsidP="00CC5261">
      <w:pPr>
        <w:spacing w:after="0" w:line="240" w:lineRule="auto"/>
        <w:rPr>
          <w:b/>
          <w:bCs/>
        </w:rPr>
      </w:pPr>
    </w:p>
    <w:p w14:paraId="3D7618A2" w14:textId="0576B0EF" w:rsidR="00CC5261" w:rsidRPr="008F39B1" w:rsidRDefault="008F39B1" w:rsidP="00CC5261">
      <w:pPr>
        <w:spacing w:after="0" w:line="240" w:lineRule="auto"/>
        <w:rPr>
          <w:b/>
          <w:bCs/>
          <w:sz w:val="24"/>
          <w:szCs w:val="24"/>
          <w:u w:val="single"/>
        </w:rPr>
      </w:pPr>
      <w:r>
        <w:rPr>
          <w:b/>
          <w:bCs/>
          <w:sz w:val="24"/>
          <w:szCs w:val="24"/>
          <w:u w:val="single"/>
        </w:rPr>
        <w:t xml:space="preserve">2 - </w:t>
      </w:r>
      <w:r w:rsidR="00CC5261" w:rsidRPr="008F39B1">
        <w:rPr>
          <w:b/>
          <w:bCs/>
          <w:sz w:val="24"/>
          <w:szCs w:val="24"/>
          <w:u w:val="single"/>
        </w:rPr>
        <w:t>Ammodernamento parco tecnologico Aziende del SSR</w:t>
      </w:r>
    </w:p>
    <w:p w14:paraId="53593588" w14:textId="77777777" w:rsidR="00CC5261" w:rsidRDefault="00CC5261" w:rsidP="00CC5261">
      <w:pPr>
        <w:spacing w:after="0" w:line="240" w:lineRule="auto"/>
        <w:jc w:val="both"/>
        <w:rPr>
          <w:b/>
          <w:bCs/>
        </w:rPr>
      </w:pPr>
      <w:r>
        <w:rPr>
          <w:b/>
          <w:bCs/>
        </w:rPr>
        <w:lastRenderedPageBreak/>
        <w:t>I</w:t>
      </w:r>
      <w:r w:rsidRPr="006766F8">
        <w:rPr>
          <w:b/>
          <w:bCs/>
        </w:rPr>
        <w:t>nvestendo nello sviluppo di tecnologie mediche diagnostiche, terapeutiche e riabilitative sempre più adeguate</w:t>
      </w:r>
      <w:r>
        <w:rPr>
          <w:b/>
          <w:bCs/>
        </w:rPr>
        <w:t xml:space="preserve"> il SSR </w:t>
      </w:r>
      <w:r w:rsidRPr="006766F8">
        <w:rPr>
          <w:b/>
          <w:bCs/>
        </w:rPr>
        <w:t>si impegna a fornire diagnosi più accurate e precoci, trattamenti più efficaci e una migliore gestione dei pazienti</w:t>
      </w:r>
      <w:r>
        <w:rPr>
          <w:b/>
          <w:bCs/>
        </w:rPr>
        <w:t>.</w:t>
      </w:r>
    </w:p>
    <w:p w14:paraId="206793A0" w14:textId="77777777" w:rsidR="00CC5261" w:rsidRPr="00966004" w:rsidRDefault="00CC5261" w:rsidP="00CC5261">
      <w:pPr>
        <w:spacing w:after="0" w:line="240" w:lineRule="auto"/>
        <w:jc w:val="both"/>
        <w:rPr>
          <w:b/>
          <w:bCs/>
        </w:rPr>
      </w:pPr>
    </w:p>
    <w:p w14:paraId="40972636" w14:textId="2077BADC" w:rsidR="00CC5261" w:rsidRPr="00881396" w:rsidRDefault="00CC5261" w:rsidP="00CC5261">
      <w:pPr>
        <w:pStyle w:val="Paragrafoelenco"/>
        <w:numPr>
          <w:ilvl w:val="0"/>
          <w:numId w:val="38"/>
        </w:numPr>
        <w:spacing w:after="0" w:line="240" w:lineRule="auto"/>
        <w:jc w:val="both"/>
        <w:rPr>
          <w:rFonts w:eastAsia="Times New Roman" w:cs="Times New Roman"/>
          <w:color w:val="000000"/>
          <w:kern w:val="0"/>
          <w:lang w:eastAsia="it-IT"/>
          <w14:ligatures w14:val="none"/>
        </w:rPr>
      </w:pPr>
      <w:r w:rsidRPr="00B5096A">
        <w:t xml:space="preserve">Nell’ambito del </w:t>
      </w:r>
      <w:r w:rsidRPr="00881396">
        <w:rPr>
          <w:rFonts w:eastAsia="Times New Roman" w:cs="Times New Roman"/>
          <w:b/>
          <w:bCs/>
          <w:color w:val="000000"/>
          <w:kern w:val="0"/>
          <w:lang w:eastAsia="it-IT"/>
          <w14:ligatures w14:val="none"/>
        </w:rPr>
        <w:t>PNRR</w:t>
      </w:r>
      <w:r w:rsidRPr="00881396">
        <w:rPr>
          <w:b/>
          <w:bCs/>
        </w:rPr>
        <w:t xml:space="preserve"> </w:t>
      </w:r>
      <w:r w:rsidRPr="00881396">
        <w:rPr>
          <w:rFonts w:eastAsia="Times New Roman" w:cs="Times New Roman"/>
          <w:b/>
          <w:bCs/>
          <w:color w:val="000000"/>
          <w:kern w:val="0"/>
          <w:lang w:eastAsia="it-IT"/>
          <w14:ligatures w14:val="none"/>
        </w:rPr>
        <w:t>M6- Component 2 - I1.01.02 - Ammodernamento del parco tecnologico e digitale ospedaliero (grandi apparecchiature)</w:t>
      </w:r>
      <w:r w:rsidRPr="00881396">
        <w:rPr>
          <w:rFonts w:eastAsia="Times New Roman" w:cs="Times New Roman"/>
          <w:color w:val="000000"/>
          <w:kern w:val="0"/>
          <w:lang w:eastAsia="it-IT"/>
          <w14:ligatures w14:val="none"/>
        </w:rPr>
        <w:t xml:space="preserve">, è </w:t>
      </w:r>
      <w:r w:rsidR="008F39B1">
        <w:rPr>
          <w:rFonts w:eastAsia="Times New Roman" w:cs="Times New Roman"/>
          <w:color w:val="000000"/>
          <w:kern w:val="0"/>
          <w:lang w:eastAsia="it-IT"/>
          <w14:ligatures w14:val="none"/>
        </w:rPr>
        <w:t xml:space="preserve">stato </w:t>
      </w:r>
      <w:r w:rsidRPr="00881396">
        <w:rPr>
          <w:rFonts w:eastAsia="Times New Roman" w:cs="Times New Roman"/>
          <w:color w:val="000000"/>
          <w:kern w:val="0"/>
          <w:lang w:eastAsia="it-IT"/>
          <w14:ligatures w14:val="none"/>
        </w:rPr>
        <w:t xml:space="preserve">finanziato l’acquisto di </w:t>
      </w:r>
      <w:r w:rsidRPr="00881396">
        <w:rPr>
          <w:u w:val="single"/>
        </w:rPr>
        <w:t>nuove apparecchiature dotate di tecnologie di ultima generazione per TAC, risonanze e altri esami sanitari</w:t>
      </w:r>
      <w:r w:rsidRPr="00881396">
        <w:rPr>
          <w:rFonts w:eastAsia="Times New Roman" w:cs="Times New Roman"/>
          <w:color w:val="000000"/>
          <w:kern w:val="0"/>
          <w:lang w:eastAsia="it-IT"/>
          <w14:ligatures w14:val="none"/>
        </w:rPr>
        <w:t xml:space="preserve">: </w:t>
      </w:r>
    </w:p>
    <w:p w14:paraId="3232A018" w14:textId="77777777" w:rsidR="00CC5261" w:rsidRPr="00C67B79" w:rsidRDefault="00CC5261" w:rsidP="00CC5261">
      <w:pPr>
        <w:spacing w:after="0" w:line="240" w:lineRule="auto"/>
        <w:jc w:val="both"/>
        <w:rPr>
          <w:rFonts w:ascii="Garamond" w:eastAsiaTheme="majorEastAsia" w:hAnsi="Garamond" w:cs="Times New Roman"/>
          <w:color w:val="000000"/>
          <w:kern w:val="0"/>
          <w:lang w:eastAsia="it-IT"/>
          <w14:ligatures w14:val="none"/>
        </w:rPr>
      </w:pPr>
    </w:p>
    <w:tbl>
      <w:tblPr>
        <w:tblW w:w="5000" w:type="pct"/>
        <w:tblCellMar>
          <w:left w:w="70" w:type="dxa"/>
          <w:right w:w="70" w:type="dxa"/>
        </w:tblCellMar>
        <w:tblLook w:val="04A0" w:firstRow="1" w:lastRow="0" w:firstColumn="1" w:lastColumn="0" w:noHBand="0" w:noVBand="1"/>
      </w:tblPr>
      <w:tblGrid>
        <w:gridCol w:w="2776"/>
        <w:gridCol w:w="2890"/>
        <w:gridCol w:w="3972"/>
      </w:tblGrid>
      <w:tr w:rsidR="00CC5261" w:rsidRPr="00C67B79" w14:paraId="42969DDD" w14:textId="77777777" w:rsidTr="001627A4">
        <w:trPr>
          <w:trHeight w:val="300"/>
        </w:trPr>
        <w:tc>
          <w:tcPr>
            <w:tcW w:w="1223" w:type="pct"/>
            <w:tcBorders>
              <w:top w:val="nil"/>
              <w:left w:val="nil"/>
              <w:bottom w:val="single" w:sz="4" w:space="0" w:color="9BC2E6"/>
              <w:right w:val="nil"/>
            </w:tcBorders>
            <w:shd w:val="clear" w:color="DDEBF7" w:fill="DDEBF7"/>
            <w:noWrap/>
            <w:vAlign w:val="bottom"/>
            <w:hideMark/>
          </w:tcPr>
          <w:p w14:paraId="5B349242" w14:textId="77777777" w:rsidR="00CC5261" w:rsidRPr="00C67B79"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C67B79">
              <w:rPr>
                <w:rFonts w:ascii="Garamond" w:eastAsia="Times New Roman" w:hAnsi="Garamond" w:cs="Calibri"/>
                <w:b/>
                <w:bCs/>
                <w:color w:val="000000"/>
                <w:kern w:val="0"/>
                <w:sz w:val="20"/>
                <w:szCs w:val="20"/>
                <w:lang w:eastAsia="it-IT"/>
                <w14:ligatures w14:val="none"/>
              </w:rPr>
              <w:t>Etichette di riga</w:t>
            </w:r>
          </w:p>
        </w:tc>
        <w:tc>
          <w:tcPr>
            <w:tcW w:w="1867" w:type="pct"/>
            <w:tcBorders>
              <w:top w:val="nil"/>
              <w:left w:val="nil"/>
              <w:bottom w:val="single" w:sz="4" w:space="0" w:color="9BC2E6"/>
              <w:right w:val="nil"/>
            </w:tcBorders>
            <w:shd w:val="clear" w:color="DDEBF7" w:fill="DDEBF7"/>
            <w:noWrap/>
            <w:vAlign w:val="bottom"/>
            <w:hideMark/>
          </w:tcPr>
          <w:p w14:paraId="0ADBD5A5" w14:textId="77777777" w:rsidR="00CC5261" w:rsidRPr="00C67B79"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C67B79">
              <w:rPr>
                <w:rFonts w:ascii="Garamond" w:eastAsia="Times New Roman" w:hAnsi="Garamond" w:cs="Calibri"/>
                <w:b/>
                <w:bCs/>
                <w:color w:val="000000"/>
                <w:kern w:val="0"/>
                <w:sz w:val="20"/>
                <w:szCs w:val="20"/>
                <w:lang w:eastAsia="it-IT"/>
                <w14:ligatures w14:val="none"/>
              </w:rPr>
              <w:t>n. apparecchiature</w:t>
            </w:r>
          </w:p>
        </w:tc>
        <w:tc>
          <w:tcPr>
            <w:tcW w:w="1910" w:type="pct"/>
            <w:tcBorders>
              <w:top w:val="nil"/>
              <w:left w:val="nil"/>
              <w:bottom w:val="single" w:sz="4" w:space="0" w:color="9BC2E6"/>
              <w:right w:val="nil"/>
            </w:tcBorders>
            <w:shd w:val="clear" w:color="DDEBF7" w:fill="DDEBF7"/>
            <w:noWrap/>
            <w:vAlign w:val="bottom"/>
            <w:hideMark/>
          </w:tcPr>
          <w:p w14:paraId="2E9FC6B3" w14:textId="77777777" w:rsidR="00CC5261" w:rsidRPr="00C67B79" w:rsidRDefault="00CC5261" w:rsidP="001627A4">
            <w:pPr>
              <w:spacing w:after="0" w:line="240" w:lineRule="auto"/>
              <w:jc w:val="center"/>
              <w:rPr>
                <w:rFonts w:ascii="Garamond" w:eastAsia="Times New Roman" w:hAnsi="Garamond" w:cs="Calibri"/>
                <w:b/>
                <w:bCs/>
                <w:color w:val="000000"/>
                <w:kern w:val="0"/>
                <w:sz w:val="20"/>
                <w:szCs w:val="20"/>
                <w:lang w:eastAsia="it-IT"/>
                <w14:ligatures w14:val="none"/>
              </w:rPr>
            </w:pPr>
            <w:r w:rsidRPr="00C67B79">
              <w:rPr>
                <w:rFonts w:ascii="Garamond" w:eastAsia="Times New Roman" w:hAnsi="Garamond" w:cs="Calibri"/>
                <w:b/>
                <w:bCs/>
                <w:color w:val="000000"/>
                <w:kern w:val="0"/>
                <w:sz w:val="20"/>
                <w:szCs w:val="20"/>
                <w:lang w:eastAsia="it-IT"/>
                <w14:ligatures w14:val="none"/>
              </w:rPr>
              <w:t>Importo finanziato</w:t>
            </w:r>
          </w:p>
        </w:tc>
      </w:tr>
      <w:tr w:rsidR="00CC5261" w:rsidRPr="00C67B79" w14:paraId="3979B6B3" w14:textId="77777777" w:rsidTr="001627A4">
        <w:trPr>
          <w:trHeight w:val="300"/>
        </w:trPr>
        <w:tc>
          <w:tcPr>
            <w:tcW w:w="1223" w:type="pct"/>
            <w:tcBorders>
              <w:top w:val="nil"/>
              <w:left w:val="nil"/>
              <w:bottom w:val="nil"/>
              <w:right w:val="nil"/>
            </w:tcBorders>
            <w:shd w:val="clear" w:color="auto" w:fill="auto"/>
            <w:noWrap/>
            <w:vAlign w:val="bottom"/>
            <w:hideMark/>
          </w:tcPr>
          <w:p w14:paraId="27330326"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ANGIOGRAFI</w:t>
            </w:r>
          </w:p>
        </w:tc>
        <w:tc>
          <w:tcPr>
            <w:tcW w:w="1867" w:type="pct"/>
            <w:tcBorders>
              <w:top w:val="nil"/>
              <w:left w:val="nil"/>
              <w:bottom w:val="nil"/>
              <w:right w:val="nil"/>
            </w:tcBorders>
            <w:shd w:val="clear" w:color="auto" w:fill="auto"/>
            <w:noWrap/>
            <w:vAlign w:val="bottom"/>
            <w:hideMark/>
          </w:tcPr>
          <w:p w14:paraId="6B0C96CE" w14:textId="77777777" w:rsidR="00CC5261" w:rsidRPr="00C67B79"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1</w:t>
            </w:r>
          </w:p>
        </w:tc>
        <w:tc>
          <w:tcPr>
            <w:tcW w:w="1910" w:type="pct"/>
            <w:tcBorders>
              <w:top w:val="nil"/>
              <w:left w:val="nil"/>
              <w:bottom w:val="nil"/>
              <w:right w:val="nil"/>
            </w:tcBorders>
            <w:shd w:val="clear" w:color="auto" w:fill="auto"/>
            <w:noWrap/>
            <w:vAlign w:val="bottom"/>
            <w:hideMark/>
          </w:tcPr>
          <w:p w14:paraId="5D023A0C" w14:textId="77777777" w:rsidR="00CC5261" w:rsidRPr="00C67B79"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 xml:space="preserve">1.191.443 € </w:t>
            </w:r>
          </w:p>
        </w:tc>
      </w:tr>
      <w:tr w:rsidR="00CC5261" w:rsidRPr="00C67B79" w14:paraId="691F61F4" w14:textId="77777777" w:rsidTr="001627A4">
        <w:trPr>
          <w:trHeight w:val="300"/>
        </w:trPr>
        <w:tc>
          <w:tcPr>
            <w:tcW w:w="1223" w:type="pct"/>
            <w:tcBorders>
              <w:top w:val="nil"/>
              <w:left w:val="nil"/>
              <w:bottom w:val="nil"/>
              <w:right w:val="nil"/>
            </w:tcBorders>
            <w:shd w:val="clear" w:color="auto" w:fill="auto"/>
            <w:noWrap/>
            <w:vAlign w:val="bottom"/>
            <w:hideMark/>
          </w:tcPr>
          <w:p w14:paraId="0D62D0CA"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ECOTOMOGRAFI</w:t>
            </w:r>
          </w:p>
        </w:tc>
        <w:tc>
          <w:tcPr>
            <w:tcW w:w="1867" w:type="pct"/>
            <w:tcBorders>
              <w:top w:val="nil"/>
              <w:left w:val="nil"/>
              <w:bottom w:val="nil"/>
              <w:right w:val="nil"/>
            </w:tcBorders>
            <w:shd w:val="clear" w:color="auto" w:fill="auto"/>
            <w:noWrap/>
            <w:vAlign w:val="bottom"/>
            <w:hideMark/>
          </w:tcPr>
          <w:p w14:paraId="22F08E1B" w14:textId="77777777" w:rsidR="00CC5261" w:rsidRPr="00C67B79"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20</w:t>
            </w:r>
          </w:p>
        </w:tc>
        <w:tc>
          <w:tcPr>
            <w:tcW w:w="1910" w:type="pct"/>
            <w:tcBorders>
              <w:top w:val="nil"/>
              <w:left w:val="nil"/>
              <w:bottom w:val="nil"/>
              <w:right w:val="nil"/>
            </w:tcBorders>
            <w:shd w:val="clear" w:color="auto" w:fill="auto"/>
            <w:noWrap/>
            <w:vAlign w:val="bottom"/>
            <w:hideMark/>
          </w:tcPr>
          <w:p w14:paraId="0188688C"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 xml:space="preserve">                                                         807.821,81 € </w:t>
            </w:r>
          </w:p>
        </w:tc>
      </w:tr>
      <w:tr w:rsidR="00CC5261" w:rsidRPr="00C67B79" w14:paraId="7E96B98D" w14:textId="77777777" w:rsidTr="001627A4">
        <w:trPr>
          <w:trHeight w:val="300"/>
        </w:trPr>
        <w:tc>
          <w:tcPr>
            <w:tcW w:w="1223" w:type="pct"/>
            <w:tcBorders>
              <w:top w:val="nil"/>
              <w:left w:val="nil"/>
              <w:bottom w:val="nil"/>
              <w:right w:val="nil"/>
            </w:tcBorders>
            <w:shd w:val="clear" w:color="auto" w:fill="auto"/>
            <w:noWrap/>
            <w:vAlign w:val="bottom"/>
            <w:hideMark/>
          </w:tcPr>
          <w:p w14:paraId="73FDB617"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MAMMOGRAFI</w:t>
            </w:r>
          </w:p>
        </w:tc>
        <w:tc>
          <w:tcPr>
            <w:tcW w:w="1867" w:type="pct"/>
            <w:tcBorders>
              <w:top w:val="nil"/>
              <w:left w:val="nil"/>
              <w:bottom w:val="nil"/>
              <w:right w:val="nil"/>
            </w:tcBorders>
            <w:shd w:val="clear" w:color="auto" w:fill="auto"/>
            <w:noWrap/>
            <w:vAlign w:val="bottom"/>
            <w:hideMark/>
          </w:tcPr>
          <w:p w14:paraId="673F7D99" w14:textId="77777777" w:rsidR="00CC5261" w:rsidRPr="00C67B79"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7</w:t>
            </w:r>
          </w:p>
        </w:tc>
        <w:tc>
          <w:tcPr>
            <w:tcW w:w="1910" w:type="pct"/>
            <w:tcBorders>
              <w:top w:val="nil"/>
              <w:left w:val="nil"/>
              <w:bottom w:val="nil"/>
              <w:right w:val="nil"/>
            </w:tcBorders>
            <w:shd w:val="clear" w:color="auto" w:fill="auto"/>
            <w:noWrap/>
            <w:vAlign w:val="bottom"/>
            <w:hideMark/>
          </w:tcPr>
          <w:p w14:paraId="09C2507E"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 xml:space="preserve">                                                     1.135.598,36 € </w:t>
            </w:r>
          </w:p>
        </w:tc>
      </w:tr>
      <w:tr w:rsidR="00CC5261" w:rsidRPr="00C67B79" w14:paraId="505B3EB5" w14:textId="77777777" w:rsidTr="001627A4">
        <w:trPr>
          <w:trHeight w:val="300"/>
        </w:trPr>
        <w:tc>
          <w:tcPr>
            <w:tcW w:w="1223" w:type="pct"/>
            <w:tcBorders>
              <w:top w:val="nil"/>
              <w:left w:val="nil"/>
              <w:bottom w:val="nil"/>
              <w:right w:val="nil"/>
            </w:tcBorders>
            <w:shd w:val="clear" w:color="auto" w:fill="auto"/>
            <w:noWrap/>
            <w:vAlign w:val="bottom"/>
            <w:hideMark/>
          </w:tcPr>
          <w:p w14:paraId="775956DF"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RMN A 1,5 T</w:t>
            </w:r>
          </w:p>
        </w:tc>
        <w:tc>
          <w:tcPr>
            <w:tcW w:w="1867" w:type="pct"/>
            <w:tcBorders>
              <w:top w:val="nil"/>
              <w:left w:val="nil"/>
              <w:bottom w:val="nil"/>
              <w:right w:val="nil"/>
            </w:tcBorders>
            <w:shd w:val="clear" w:color="auto" w:fill="auto"/>
            <w:noWrap/>
            <w:vAlign w:val="bottom"/>
            <w:hideMark/>
          </w:tcPr>
          <w:p w14:paraId="3966A492" w14:textId="77777777" w:rsidR="00CC5261" w:rsidRPr="00C67B79"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3</w:t>
            </w:r>
          </w:p>
        </w:tc>
        <w:tc>
          <w:tcPr>
            <w:tcW w:w="1910" w:type="pct"/>
            <w:tcBorders>
              <w:top w:val="nil"/>
              <w:left w:val="nil"/>
              <w:bottom w:val="nil"/>
              <w:right w:val="nil"/>
            </w:tcBorders>
            <w:shd w:val="clear" w:color="auto" w:fill="auto"/>
            <w:noWrap/>
            <w:vAlign w:val="bottom"/>
            <w:hideMark/>
          </w:tcPr>
          <w:p w14:paraId="31C43CBF"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 xml:space="preserve">                                                     3.467.927,85 € </w:t>
            </w:r>
          </w:p>
        </w:tc>
      </w:tr>
      <w:tr w:rsidR="00CC5261" w:rsidRPr="00C67B79" w14:paraId="6748F7F2" w14:textId="77777777" w:rsidTr="001627A4">
        <w:trPr>
          <w:trHeight w:val="300"/>
        </w:trPr>
        <w:tc>
          <w:tcPr>
            <w:tcW w:w="1223" w:type="pct"/>
            <w:tcBorders>
              <w:top w:val="nil"/>
              <w:left w:val="nil"/>
              <w:bottom w:val="nil"/>
              <w:right w:val="nil"/>
            </w:tcBorders>
            <w:shd w:val="clear" w:color="auto" w:fill="auto"/>
            <w:noWrap/>
            <w:vAlign w:val="bottom"/>
            <w:hideMark/>
          </w:tcPr>
          <w:p w14:paraId="57817EFE"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SISTEMI RADIOLOGICI FISSI</w:t>
            </w:r>
          </w:p>
        </w:tc>
        <w:tc>
          <w:tcPr>
            <w:tcW w:w="1867" w:type="pct"/>
            <w:tcBorders>
              <w:top w:val="nil"/>
              <w:left w:val="nil"/>
              <w:bottom w:val="nil"/>
              <w:right w:val="nil"/>
            </w:tcBorders>
            <w:shd w:val="clear" w:color="auto" w:fill="auto"/>
            <w:noWrap/>
            <w:vAlign w:val="bottom"/>
            <w:hideMark/>
          </w:tcPr>
          <w:p w14:paraId="1DF1BCED" w14:textId="77777777" w:rsidR="00CC5261" w:rsidRPr="00C67B79"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16</w:t>
            </w:r>
          </w:p>
        </w:tc>
        <w:tc>
          <w:tcPr>
            <w:tcW w:w="1910" w:type="pct"/>
            <w:tcBorders>
              <w:top w:val="nil"/>
              <w:left w:val="nil"/>
              <w:bottom w:val="nil"/>
              <w:right w:val="nil"/>
            </w:tcBorders>
            <w:shd w:val="clear" w:color="auto" w:fill="auto"/>
            <w:noWrap/>
            <w:vAlign w:val="bottom"/>
            <w:hideMark/>
          </w:tcPr>
          <w:p w14:paraId="5DE9A417"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 xml:space="preserve">                                                     3.394.123,70 € </w:t>
            </w:r>
          </w:p>
        </w:tc>
      </w:tr>
      <w:tr w:rsidR="00CC5261" w:rsidRPr="00C67B79" w14:paraId="4977E53B" w14:textId="77777777" w:rsidTr="001627A4">
        <w:trPr>
          <w:trHeight w:val="300"/>
        </w:trPr>
        <w:tc>
          <w:tcPr>
            <w:tcW w:w="1223" w:type="pct"/>
            <w:tcBorders>
              <w:top w:val="nil"/>
              <w:left w:val="nil"/>
              <w:bottom w:val="nil"/>
              <w:right w:val="nil"/>
            </w:tcBorders>
            <w:shd w:val="clear" w:color="auto" w:fill="auto"/>
            <w:noWrap/>
            <w:vAlign w:val="bottom"/>
            <w:hideMark/>
          </w:tcPr>
          <w:p w14:paraId="755CE6D6"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TAC A 128 STRATI</w:t>
            </w:r>
          </w:p>
        </w:tc>
        <w:tc>
          <w:tcPr>
            <w:tcW w:w="1867" w:type="pct"/>
            <w:tcBorders>
              <w:top w:val="nil"/>
              <w:left w:val="nil"/>
              <w:bottom w:val="nil"/>
              <w:right w:val="nil"/>
            </w:tcBorders>
            <w:shd w:val="clear" w:color="auto" w:fill="auto"/>
            <w:noWrap/>
            <w:vAlign w:val="bottom"/>
            <w:hideMark/>
          </w:tcPr>
          <w:p w14:paraId="08109D7A" w14:textId="77777777" w:rsidR="00CC5261" w:rsidRPr="00C67B79" w:rsidRDefault="00CC5261" w:rsidP="001627A4">
            <w:pPr>
              <w:spacing w:after="0" w:line="240" w:lineRule="auto"/>
              <w:jc w:val="center"/>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6</w:t>
            </w:r>
          </w:p>
        </w:tc>
        <w:tc>
          <w:tcPr>
            <w:tcW w:w="1910" w:type="pct"/>
            <w:tcBorders>
              <w:top w:val="nil"/>
              <w:left w:val="nil"/>
              <w:bottom w:val="nil"/>
              <w:right w:val="nil"/>
            </w:tcBorders>
            <w:shd w:val="clear" w:color="auto" w:fill="auto"/>
            <w:noWrap/>
            <w:vAlign w:val="bottom"/>
            <w:hideMark/>
          </w:tcPr>
          <w:p w14:paraId="0075FD02" w14:textId="77777777" w:rsidR="00CC5261" w:rsidRPr="00C67B79"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C67B79">
              <w:rPr>
                <w:rFonts w:ascii="Garamond" w:eastAsia="Times New Roman" w:hAnsi="Garamond" w:cs="Calibri"/>
                <w:color w:val="000000"/>
                <w:kern w:val="0"/>
                <w:sz w:val="20"/>
                <w:szCs w:val="20"/>
                <w:lang w:eastAsia="it-IT"/>
                <w14:ligatures w14:val="none"/>
              </w:rPr>
              <w:t xml:space="preserve">                                                     3.239.351,21 € </w:t>
            </w:r>
          </w:p>
        </w:tc>
      </w:tr>
      <w:tr w:rsidR="00CC5261" w:rsidRPr="00C67B79" w14:paraId="035650DF" w14:textId="77777777" w:rsidTr="001627A4">
        <w:trPr>
          <w:trHeight w:val="300"/>
        </w:trPr>
        <w:tc>
          <w:tcPr>
            <w:tcW w:w="1223" w:type="pct"/>
            <w:tcBorders>
              <w:top w:val="single" w:sz="4" w:space="0" w:color="9BC2E6"/>
              <w:left w:val="nil"/>
              <w:bottom w:val="nil"/>
              <w:right w:val="nil"/>
            </w:tcBorders>
            <w:shd w:val="clear" w:color="DDEBF7" w:fill="DDEBF7"/>
            <w:noWrap/>
            <w:vAlign w:val="bottom"/>
            <w:hideMark/>
          </w:tcPr>
          <w:p w14:paraId="17A1E86C" w14:textId="77777777" w:rsidR="00CC5261" w:rsidRPr="00C67B79"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C67B79">
              <w:rPr>
                <w:rFonts w:ascii="Garamond" w:eastAsia="Times New Roman" w:hAnsi="Garamond" w:cs="Calibri"/>
                <w:b/>
                <w:bCs/>
                <w:color w:val="000000"/>
                <w:kern w:val="0"/>
                <w:sz w:val="20"/>
                <w:szCs w:val="20"/>
                <w:lang w:eastAsia="it-IT"/>
                <w14:ligatures w14:val="none"/>
              </w:rPr>
              <w:t>Totale complessivo</w:t>
            </w:r>
          </w:p>
        </w:tc>
        <w:tc>
          <w:tcPr>
            <w:tcW w:w="1867" w:type="pct"/>
            <w:tcBorders>
              <w:top w:val="single" w:sz="4" w:space="0" w:color="9BC2E6"/>
              <w:left w:val="nil"/>
              <w:bottom w:val="nil"/>
              <w:right w:val="nil"/>
            </w:tcBorders>
            <w:shd w:val="clear" w:color="DDEBF7" w:fill="DDEBF7"/>
            <w:noWrap/>
            <w:vAlign w:val="bottom"/>
            <w:hideMark/>
          </w:tcPr>
          <w:p w14:paraId="395E29F6" w14:textId="77777777" w:rsidR="00CC5261" w:rsidRPr="00C67B79" w:rsidRDefault="00CC5261" w:rsidP="001627A4">
            <w:pPr>
              <w:spacing w:after="0" w:line="240" w:lineRule="auto"/>
              <w:jc w:val="center"/>
              <w:rPr>
                <w:rFonts w:ascii="Garamond" w:eastAsia="Times New Roman" w:hAnsi="Garamond" w:cs="Calibri"/>
                <w:b/>
                <w:bCs/>
                <w:color w:val="000000"/>
                <w:kern w:val="0"/>
                <w:sz w:val="20"/>
                <w:szCs w:val="20"/>
                <w:lang w:eastAsia="it-IT"/>
                <w14:ligatures w14:val="none"/>
              </w:rPr>
            </w:pPr>
            <w:r w:rsidRPr="00C67B79">
              <w:rPr>
                <w:rFonts w:ascii="Garamond" w:eastAsia="Times New Roman" w:hAnsi="Garamond" w:cs="Calibri"/>
                <w:b/>
                <w:bCs/>
                <w:color w:val="000000"/>
                <w:kern w:val="0"/>
                <w:sz w:val="20"/>
                <w:szCs w:val="20"/>
                <w:lang w:eastAsia="it-IT"/>
                <w14:ligatures w14:val="none"/>
              </w:rPr>
              <w:t>53</w:t>
            </w:r>
          </w:p>
        </w:tc>
        <w:tc>
          <w:tcPr>
            <w:tcW w:w="1910" w:type="pct"/>
            <w:tcBorders>
              <w:top w:val="single" w:sz="4" w:space="0" w:color="9BC2E6"/>
              <w:left w:val="nil"/>
              <w:bottom w:val="nil"/>
              <w:right w:val="nil"/>
            </w:tcBorders>
            <w:shd w:val="clear" w:color="DDEBF7" w:fill="DDEBF7"/>
            <w:noWrap/>
            <w:vAlign w:val="bottom"/>
            <w:hideMark/>
          </w:tcPr>
          <w:p w14:paraId="6C7C9B14" w14:textId="77777777" w:rsidR="00CC5261" w:rsidRPr="00C67B79" w:rsidRDefault="00CC5261" w:rsidP="001627A4">
            <w:pPr>
              <w:spacing w:after="0" w:line="240" w:lineRule="auto"/>
              <w:jc w:val="right"/>
              <w:rPr>
                <w:rFonts w:ascii="Garamond" w:eastAsia="Times New Roman" w:hAnsi="Garamond" w:cs="Calibri"/>
                <w:b/>
                <w:bCs/>
                <w:color w:val="000000"/>
                <w:kern w:val="0"/>
                <w:sz w:val="20"/>
                <w:szCs w:val="20"/>
                <w:lang w:eastAsia="it-IT"/>
                <w14:ligatures w14:val="none"/>
              </w:rPr>
            </w:pPr>
            <w:r w:rsidRPr="00C67B79">
              <w:rPr>
                <w:rFonts w:ascii="Garamond" w:eastAsia="Times New Roman" w:hAnsi="Garamond" w:cs="Calibri"/>
                <w:b/>
                <w:bCs/>
                <w:color w:val="000000"/>
                <w:kern w:val="0"/>
                <w:sz w:val="20"/>
                <w:szCs w:val="20"/>
                <w:lang w:eastAsia="it-IT"/>
                <w14:ligatures w14:val="none"/>
              </w:rPr>
              <w:t xml:space="preserve">13.236.317,93€ </w:t>
            </w:r>
          </w:p>
        </w:tc>
      </w:tr>
    </w:tbl>
    <w:p w14:paraId="21691F34" w14:textId="77777777" w:rsidR="00CC5261" w:rsidRPr="00C67B79" w:rsidRDefault="00CC5261" w:rsidP="00CC5261">
      <w:pPr>
        <w:spacing w:after="0" w:line="240" w:lineRule="auto"/>
        <w:rPr>
          <w:sz w:val="20"/>
          <w:szCs w:val="20"/>
        </w:rPr>
      </w:pPr>
    </w:p>
    <w:p w14:paraId="6E728E4C" w14:textId="77777777" w:rsidR="00CC5261" w:rsidRDefault="00CC5261" w:rsidP="00CC5261">
      <w:pPr>
        <w:spacing w:after="0" w:line="240" w:lineRule="auto"/>
        <w:jc w:val="both"/>
        <w:rPr>
          <w:b/>
        </w:rPr>
      </w:pPr>
    </w:p>
    <w:p w14:paraId="0EAE8D4B" w14:textId="77777777" w:rsidR="008F39B1" w:rsidRDefault="00CC5261" w:rsidP="00CC5261">
      <w:pPr>
        <w:pStyle w:val="Paragrafoelenco"/>
        <w:numPr>
          <w:ilvl w:val="0"/>
          <w:numId w:val="38"/>
        </w:numPr>
        <w:spacing w:after="0" w:line="240" w:lineRule="auto"/>
        <w:jc w:val="both"/>
        <w:rPr>
          <w:b/>
        </w:rPr>
      </w:pPr>
      <w:r>
        <w:rPr>
          <w:b/>
        </w:rPr>
        <w:t xml:space="preserve">Riqualificazione </w:t>
      </w:r>
      <w:r w:rsidRPr="00966004">
        <w:rPr>
          <w:b/>
        </w:rPr>
        <w:t xml:space="preserve">e ammodernamento tecnologico dei servizi di radioterapia oncologica </w:t>
      </w:r>
    </w:p>
    <w:p w14:paraId="3BC9F1B8" w14:textId="6190E503" w:rsidR="00CC5261" w:rsidRDefault="00CC5261" w:rsidP="008F39B1">
      <w:pPr>
        <w:pStyle w:val="Paragrafoelenco"/>
        <w:spacing w:after="0" w:line="240" w:lineRule="auto"/>
        <w:jc w:val="both"/>
        <w:rPr>
          <w:b/>
        </w:rPr>
      </w:pPr>
      <w:r w:rsidRPr="00966004">
        <w:rPr>
          <w:b/>
        </w:rPr>
        <w:t>(D.L. 243/2016, Delibera CIPE n. 32/2018):</w:t>
      </w:r>
    </w:p>
    <w:p w14:paraId="4D4B0047" w14:textId="77777777" w:rsidR="00CC5261" w:rsidRDefault="00CC5261" w:rsidP="00CC5261">
      <w:pPr>
        <w:pStyle w:val="Paragrafoelenco"/>
        <w:spacing w:after="0" w:line="240" w:lineRule="auto"/>
        <w:jc w:val="both"/>
        <w:rPr>
          <w:b/>
        </w:rPr>
      </w:pPr>
    </w:p>
    <w:tbl>
      <w:tblPr>
        <w:tblW w:w="9640" w:type="dxa"/>
        <w:tblCellMar>
          <w:left w:w="70" w:type="dxa"/>
          <w:right w:w="70" w:type="dxa"/>
        </w:tblCellMar>
        <w:tblLook w:val="04A0" w:firstRow="1" w:lastRow="0" w:firstColumn="1" w:lastColumn="0" w:noHBand="0" w:noVBand="1"/>
      </w:tblPr>
      <w:tblGrid>
        <w:gridCol w:w="7940"/>
        <w:gridCol w:w="1700"/>
      </w:tblGrid>
      <w:tr w:rsidR="00CC5261" w:rsidRPr="00E20D37" w14:paraId="0D2D65DD" w14:textId="77777777" w:rsidTr="001627A4">
        <w:trPr>
          <w:trHeight w:val="300"/>
        </w:trPr>
        <w:tc>
          <w:tcPr>
            <w:tcW w:w="7940" w:type="dxa"/>
            <w:tcBorders>
              <w:top w:val="nil"/>
              <w:left w:val="nil"/>
              <w:bottom w:val="single" w:sz="8" w:space="0" w:color="9BC2E6"/>
              <w:right w:val="nil"/>
            </w:tcBorders>
            <w:shd w:val="clear" w:color="000000" w:fill="DDEBF7"/>
            <w:noWrap/>
            <w:vAlign w:val="center"/>
            <w:hideMark/>
          </w:tcPr>
          <w:p w14:paraId="515674DD" w14:textId="77777777" w:rsidR="00CC5261" w:rsidRPr="00E20D37"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E20D37">
              <w:rPr>
                <w:rFonts w:ascii="Garamond" w:eastAsia="Times New Roman" w:hAnsi="Garamond" w:cs="Calibri"/>
                <w:b/>
                <w:bCs/>
                <w:color w:val="000000"/>
                <w:kern w:val="0"/>
                <w:sz w:val="20"/>
                <w:szCs w:val="20"/>
                <w:lang w:eastAsia="it-IT"/>
                <w14:ligatures w14:val="none"/>
              </w:rPr>
              <w:t xml:space="preserve">Riqualificazione e ammodernamento tecnologico dei servizi di radioterapia oncologica </w:t>
            </w:r>
          </w:p>
        </w:tc>
        <w:tc>
          <w:tcPr>
            <w:tcW w:w="1700" w:type="dxa"/>
            <w:tcBorders>
              <w:top w:val="nil"/>
              <w:left w:val="nil"/>
              <w:bottom w:val="single" w:sz="8" w:space="0" w:color="9BC2E6"/>
              <w:right w:val="nil"/>
            </w:tcBorders>
            <w:shd w:val="clear" w:color="000000" w:fill="DDEBF7"/>
            <w:noWrap/>
            <w:vAlign w:val="center"/>
            <w:hideMark/>
          </w:tcPr>
          <w:p w14:paraId="7CCE30A7" w14:textId="77777777" w:rsidR="00CC5261" w:rsidRPr="00E20D37" w:rsidRDefault="00CC5261" w:rsidP="001627A4">
            <w:pPr>
              <w:spacing w:after="0" w:line="240" w:lineRule="auto"/>
              <w:jc w:val="center"/>
              <w:rPr>
                <w:rFonts w:ascii="Garamond" w:eastAsia="Times New Roman" w:hAnsi="Garamond" w:cs="Calibri"/>
                <w:b/>
                <w:bCs/>
                <w:color w:val="000000"/>
                <w:kern w:val="0"/>
                <w:sz w:val="20"/>
                <w:szCs w:val="20"/>
                <w:lang w:eastAsia="it-IT"/>
                <w14:ligatures w14:val="none"/>
              </w:rPr>
            </w:pPr>
            <w:r w:rsidRPr="00E20D37">
              <w:rPr>
                <w:rFonts w:ascii="Garamond" w:eastAsia="Times New Roman" w:hAnsi="Garamond" w:cs="Calibri"/>
                <w:b/>
                <w:bCs/>
                <w:color w:val="000000"/>
                <w:kern w:val="0"/>
                <w:sz w:val="20"/>
                <w:szCs w:val="20"/>
                <w:lang w:eastAsia="it-IT"/>
                <w14:ligatures w14:val="none"/>
              </w:rPr>
              <w:t>Importo finanziato</w:t>
            </w:r>
          </w:p>
        </w:tc>
      </w:tr>
      <w:tr w:rsidR="00CC5261" w:rsidRPr="00E20D37" w14:paraId="1E10A7EE" w14:textId="77777777" w:rsidTr="001627A4">
        <w:trPr>
          <w:trHeight w:val="288"/>
        </w:trPr>
        <w:tc>
          <w:tcPr>
            <w:tcW w:w="7940" w:type="dxa"/>
            <w:tcBorders>
              <w:top w:val="nil"/>
              <w:left w:val="nil"/>
              <w:bottom w:val="nil"/>
              <w:right w:val="nil"/>
            </w:tcBorders>
            <w:shd w:val="clear" w:color="auto" w:fill="auto"/>
            <w:noWrap/>
            <w:vAlign w:val="center"/>
            <w:hideMark/>
          </w:tcPr>
          <w:p w14:paraId="21A9980B" w14:textId="77777777" w:rsidR="00CC5261" w:rsidRPr="00E20D37"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E20D37">
              <w:rPr>
                <w:rFonts w:ascii="Garamond" w:eastAsia="Times New Roman" w:hAnsi="Garamond" w:cs="Calibri"/>
                <w:color w:val="000000"/>
                <w:kern w:val="0"/>
                <w:sz w:val="20"/>
                <w:szCs w:val="20"/>
                <w:lang w:eastAsia="it-IT"/>
                <w14:ligatures w14:val="none"/>
              </w:rPr>
              <w:t>IRCCS-CROB di Rionero in Vulture - N. 1 Acceleratore lineare e annessi lavori edili e impiantistici</w:t>
            </w:r>
          </w:p>
        </w:tc>
        <w:tc>
          <w:tcPr>
            <w:tcW w:w="1700" w:type="dxa"/>
            <w:tcBorders>
              <w:top w:val="nil"/>
              <w:left w:val="nil"/>
              <w:bottom w:val="nil"/>
              <w:right w:val="nil"/>
            </w:tcBorders>
            <w:shd w:val="clear" w:color="auto" w:fill="auto"/>
            <w:noWrap/>
            <w:vAlign w:val="center"/>
            <w:hideMark/>
          </w:tcPr>
          <w:p w14:paraId="023A9FCA" w14:textId="77777777" w:rsidR="00CC5261" w:rsidRPr="00E20D37"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E20D37">
              <w:rPr>
                <w:rFonts w:ascii="Garamond" w:eastAsia="Times New Roman" w:hAnsi="Garamond" w:cs="Calibri"/>
                <w:color w:val="000000"/>
                <w:kern w:val="0"/>
                <w:sz w:val="20"/>
                <w:szCs w:val="20"/>
                <w:lang w:eastAsia="it-IT"/>
                <w14:ligatures w14:val="none"/>
              </w:rPr>
              <w:t>€ 3.706.500</w:t>
            </w:r>
          </w:p>
        </w:tc>
      </w:tr>
      <w:tr w:rsidR="00CC5261" w:rsidRPr="00E20D37" w14:paraId="3BBFE943" w14:textId="77777777" w:rsidTr="001627A4">
        <w:trPr>
          <w:trHeight w:val="300"/>
        </w:trPr>
        <w:tc>
          <w:tcPr>
            <w:tcW w:w="7940" w:type="dxa"/>
            <w:tcBorders>
              <w:top w:val="nil"/>
              <w:left w:val="nil"/>
              <w:bottom w:val="nil"/>
              <w:right w:val="nil"/>
            </w:tcBorders>
            <w:shd w:val="clear" w:color="auto" w:fill="auto"/>
            <w:noWrap/>
            <w:vAlign w:val="center"/>
            <w:hideMark/>
          </w:tcPr>
          <w:p w14:paraId="00071B00" w14:textId="77777777" w:rsidR="00CC5261" w:rsidRPr="00E20D37"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E20D37">
              <w:rPr>
                <w:rFonts w:ascii="Garamond" w:eastAsia="Times New Roman" w:hAnsi="Garamond" w:cs="Calibri"/>
                <w:color w:val="000000"/>
                <w:kern w:val="0"/>
                <w:sz w:val="20"/>
                <w:szCs w:val="20"/>
                <w:lang w:eastAsia="it-IT"/>
                <w14:ligatures w14:val="none"/>
              </w:rPr>
              <w:t>A.S.M. -P.O. Matera - Bunker e acquisto acceleratore</w:t>
            </w:r>
          </w:p>
        </w:tc>
        <w:tc>
          <w:tcPr>
            <w:tcW w:w="1700" w:type="dxa"/>
            <w:tcBorders>
              <w:top w:val="nil"/>
              <w:left w:val="nil"/>
              <w:bottom w:val="nil"/>
              <w:right w:val="nil"/>
            </w:tcBorders>
            <w:shd w:val="clear" w:color="auto" w:fill="auto"/>
            <w:noWrap/>
            <w:vAlign w:val="center"/>
            <w:hideMark/>
          </w:tcPr>
          <w:p w14:paraId="2BA388B2" w14:textId="77777777" w:rsidR="00CC5261" w:rsidRPr="00E20D37"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E20D37">
              <w:rPr>
                <w:rFonts w:ascii="Garamond" w:eastAsia="Times New Roman" w:hAnsi="Garamond" w:cs="Calibri"/>
                <w:color w:val="000000"/>
                <w:kern w:val="0"/>
                <w:sz w:val="20"/>
                <w:szCs w:val="20"/>
                <w:lang w:eastAsia="it-IT"/>
                <w14:ligatures w14:val="none"/>
              </w:rPr>
              <w:t>€ 4.188.752</w:t>
            </w:r>
          </w:p>
        </w:tc>
      </w:tr>
      <w:tr w:rsidR="00CC5261" w:rsidRPr="00E20D37" w14:paraId="12C60608" w14:textId="77777777" w:rsidTr="001627A4">
        <w:trPr>
          <w:trHeight w:val="288"/>
        </w:trPr>
        <w:tc>
          <w:tcPr>
            <w:tcW w:w="7940" w:type="dxa"/>
            <w:tcBorders>
              <w:top w:val="single" w:sz="8" w:space="0" w:color="9BC2E6"/>
              <w:left w:val="nil"/>
              <w:bottom w:val="nil"/>
              <w:right w:val="nil"/>
            </w:tcBorders>
            <w:shd w:val="clear" w:color="000000" w:fill="DDEBF7"/>
            <w:noWrap/>
            <w:vAlign w:val="center"/>
            <w:hideMark/>
          </w:tcPr>
          <w:p w14:paraId="4C647339" w14:textId="77777777" w:rsidR="00CC5261" w:rsidRPr="00E20D37"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E20D37">
              <w:rPr>
                <w:rFonts w:ascii="Garamond" w:eastAsia="Times New Roman" w:hAnsi="Garamond" w:cs="Calibri"/>
                <w:b/>
                <w:bCs/>
                <w:color w:val="000000"/>
                <w:kern w:val="0"/>
                <w:sz w:val="20"/>
                <w:szCs w:val="20"/>
                <w:lang w:eastAsia="it-IT"/>
                <w14:ligatures w14:val="none"/>
              </w:rPr>
              <w:t>Totale complessivo</w:t>
            </w:r>
          </w:p>
        </w:tc>
        <w:tc>
          <w:tcPr>
            <w:tcW w:w="1700" w:type="dxa"/>
            <w:tcBorders>
              <w:top w:val="single" w:sz="8" w:space="0" w:color="9BC2E6"/>
              <w:left w:val="nil"/>
              <w:bottom w:val="nil"/>
              <w:right w:val="nil"/>
            </w:tcBorders>
            <w:shd w:val="clear" w:color="000000" w:fill="DDEBF7"/>
            <w:noWrap/>
            <w:vAlign w:val="center"/>
            <w:hideMark/>
          </w:tcPr>
          <w:p w14:paraId="44A54146" w14:textId="77777777" w:rsidR="00CC5261" w:rsidRPr="00E20D37" w:rsidRDefault="00CC5261" w:rsidP="001627A4">
            <w:pPr>
              <w:spacing w:after="0" w:line="240" w:lineRule="auto"/>
              <w:jc w:val="right"/>
              <w:rPr>
                <w:rFonts w:ascii="Garamond" w:eastAsia="Times New Roman" w:hAnsi="Garamond" w:cs="Calibri"/>
                <w:b/>
                <w:bCs/>
                <w:color w:val="000000"/>
                <w:kern w:val="0"/>
                <w:sz w:val="20"/>
                <w:szCs w:val="20"/>
                <w:lang w:eastAsia="it-IT"/>
                <w14:ligatures w14:val="none"/>
              </w:rPr>
            </w:pPr>
            <w:r w:rsidRPr="00E20D37">
              <w:rPr>
                <w:rFonts w:ascii="Garamond" w:eastAsia="Times New Roman" w:hAnsi="Garamond" w:cs="Calibri"/>
                <w:b/>
                <w:bCs/>
                <w:color w:val="000000"/>
                <w:kern w:val="0"/>
                <w:sz w:val="20"/>
                <w:szCs w:val="20"/>
                <w:lang w:eastAsia="it-IT"/>
                <w14:ligatures w14:val="none"/>
              </w:rPr>
              <w:t>7.895.252,00 €</w:t>
            </w:r>
          </w:p>
        </w:tc>
      </w:tr>
      <w:tr w:rsidR="00CC5261" w:rsidRPr="00E20D37" w14:paraId="79662900" w14:textId="77777777" w:rsidTr="001627A4">
        <w:trPr>
          <w:trHeight w:val="288"/>
        </w:trPr>
        <w:tc>
          <w:tcPr>
            <w:tcW w:w="7940" w:type="dxa"/>
            <w:tcBorders>
              <w:top w:val="nil"/>
              <w:left w:val="nil"/>
              <w:bottom w:val="nil"/>
              <w:right w:val="nil"/>
            </w:tcBorders>
            <w:shd w:val="clear" w:color="auto" w:fill="auto"/>
            <w:noWrap/>
            <w:vAlign w:val="center"/>
            <w:hideMark/>
          </w:tcPr>
          <w:p w14:paraId="51E20E16" w14:textId="77777777" w:rsidR="00CC5261" w:rsidRPr="00E20D37"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E20D37">
              <w:rPr>
                <w:rFonts w:ascii="Garamond" w:eastAsia="Times New Roman" w:hAnsi="Garamond" w:cs="Calibri"/>
                <w:color w:val="000000"/>
                <w:kern w:val="0"/>
                <w:sz w:val="20"/>
                <w:szCs w:val="20"/>
                <w:lang w:eastAsia="it-IT"/>
                <w14:ligatures w14:val="none"/>
              </w:rPr>
              <w:t>Finanziamento Stato</w:t>
            </w:r>
            <w:r>
              <w:rPr>
                <w:rFonts w:ascii="Garamond" w:eastAsia="Times New Roman" w:hAnsi="Garamond" w:cs="Calibri"/>
                <w:color w:val="000000"/>
                <w:kern w:val="0"/>
                <w:sz w:val="20"/>
                <w:szCs w:val="20"/>
                <w:lang w:eastAsia="it-IT"/>
                <w14:ligatures w14:val="none"/>
              </w:rPr>
              <w:t xml:space="preserve"> - </w:t>
            </w:r>
            <w:r w:rsidRPr="00E20D37">
              <w:rPr>
                <w:rFonts w:ascii="Garamond" w:eastAsia="Times New Roman" w:hAnsi="Garamond" w:cs="Calibri"/>
                <w:color w:val="000000"/>
                <w:kern w:val="0"/>
                <w:sz w:val="20"/>
                <w:szCs w:val="20"/>
                <w:lang w:eastAsia="it-IT"/>
                <w14:ligatures w14:val="none"/>
              </w:rPr>
              <w:t>D.L. 243/2016, Delibera CIPE n. 32/2018</w:t>
            </w:r>
            <w:r>
              <w:rPr>
                <w:rFonts w:ascii="Garamond" w:eastAsia="Times New Roman" w:hAnsi="Garamond" w:cs="Calibri"/>
                <w:color w:val="000000"/>
                <w:kern w:val="0"/>
                <w:sz w:val="20"/>
                <w:szCs w:val="20"/>
                <w:lang w:eastAsia="it-IT"/>
                <w14:ligatures w14:val="none"/>
              </w:rPr>
              <w:t xml:space="preserve"> -</w:t>
            </w:r>
            <w:r>
              <w:rPr>
                <w:b/>
              </w:rPr>
              <w:t xml:space="preserve"> </w:t>
            </w:r>
            <w:r w:rsidRPr="00E20D37">
              <w:rPr>
                <w:rFonts w:ascii="Garamond" w:eastAsia="Times New Roman" w:hAnsi="Garamond" w:cs="Calibri"/>
                <w:color w:val="000000"/>
                <w:kern w:val="0"/>
                <w:sz w:val="20"/>
                <w:szCs w:val="20"/>
                <w:lang w:eastAsia="it-IT"/>
                <w14:ligatures w14:val="none"/>
              </w:rPr>
              <w:t>€ 4,03 ML</w:t>
            </w:r>
          </w:p>
        </w:tc>
        <w:tc>
          <w:tcPr>
            <w:tcW w:w="1700" w:type="dxa"/>
            <w:tcBorders>
              <w:top w:val="nil"/>
              <w:left w:val="nil"/>
              <w:bottom w:val="nil"/>
              <w:right w:val="nil"/>
            </w:tcBorders>
            <w:shd w:val="clear" w:color="auto" w:fill="auto"/>
            <w:noWrap/>
            <w:vAlign w:val="bottom"/>
            <w:hideMark/>
          </w:tcPr>
          <w:p w14:paraId="68435022" w14:textId="77777777" w:rsidR="00CC5261" w:rsidRPr="00E20D37" w:rsidRDefault="00CC5261" w:rsidP="001627A4">
            <w:pPr>
              <w:spacing w:after="0" w:line="240" w:lineRule="auto"/>
              <w:rPr>
                <w:rFonts w:ascii="Garamond" w:eastAsia="Times New Roman" w:hAnsi="Garamond" w:cs="Calibri"/>
                <w:color w:val="000000"/>
                <w:kern w:val="0"/>
                <w:sz w:val="20"/>
                <w:szCs w:val="20"/>
                <w:lang w:eastAsia="it-IT"/>
                <w14:ligatures w14:val="none"/>
              </w:rPr>
            </w:pPr>
          </w:p>
        </w:tc>
      </w:tr>
    </w:tbl>
    <w:p w14:paraId="5F3FE07B" w14:textId="77777777" w:rsidR="00CC5261" w:rsidRDefault="00CC5261" w:rsidP="00CC5261">
      <w:pPr>
        <w:pStyle w:val="Paragrafoelenco"/>
        <w:spacing w:after="0" w:line="240" w:lineRule="auto"/>
        <w:jc w:val="both"/>
        <w:rPr>
          <w:b/>
        </w:rPr>
      </w:pPr>
    </w:p>
    <w:p w14:paraId="2402DF0B" w14:textId="3DC30325" w:rsidR="00CC5261" w:rsidRPr="00966004" w:rsidRDefault="00CC5261" w:rsidP="00CC5261">
      <w:pPr>
        <w:pStyle w:val="Paragrafoelenco"/>
        <w:numPr>
          <w:ilvl w:val="0"/>
          <w:numId w:val="38"/>
        </w:numPr>
        <w:spacing w:after="0" w:line="240" w:lineRule="auto"/>
        <w:jc w:val="both"/>
        <w:rPr>
          <w:b/>
        </w:rPr>
      </w:pPr>
      <w:r w:rsidRPr="00966004">
        <w:rPr>
          <w:b/>
        </w:rPr>
        <w:t>Programma FSC</w:t>
      </w:r>
      <w:r>
        <w:rPr>
          <w:b/>
        </w:rPr>
        <w:t xml:space="preserve"> </w:t>
      </w:r>
      <w:r w:rsidRPr="00966004">
        <w:rPr>
          <w:b/>
        </w:rPr>
        <w:t>2014-2020</w:t>
      </w:r>
      <w:r>
        <w:rPr>
          <w:b/>
        </w:rPr>
        <w:t xml:space="preserve"> e FSC 202</w:t>
      </w:r>
      <w:r w:rsidR="008F39B1">
        <w:rPr>
          <w:b/>
        </w:rPr>
        <w:t>1</w:t>
      </w:r>
      <w:r>
        <w:rPr>
          <w:b/>
        </w:rPr>
        <w:t>/2027:</w:t>
      </w:r>
    </w:p>
    <w:p w14:paraId="1D336098" w14:textId="77777777" w:rsidR="00CC5261" w:rsidRDefault="00CC5261" w:rsidP="00CC5261">
      <w:pPr>
        <w:spacing w:after="0" w:line="240" w:lineRule="auto"/>
        <w:ind w:firstLine="708"/>
      </w:pPr>
      <w:r>
        <w:t>S</w:t>
      </w:r>
      <w:r w:rsidRPr="004A203A">
        <w:t>ono in corso di realizzazione i seguenti interventi:</w:t>
      </w:r>
    </w:p>
    <w:p w14:paraId="570D7884" w14:textId="77777777" w:rsidR="00CC5261" w:rsidRPr="004A203A" w:rsidRDefault="00CC5261" w:rsidP="00CC5261">
      <w:pPr>
        <w:spacing w:after="0" w:line="240" w:lineRule="auto"/>
        <w:ind w:firstLine="708"/>
      </w:pPr>
      <w:r>
        <w:t xml:space="preserve"> </w:t>
      </w:r>
    </w:p>
    <w:tbl>
      <w:tblPr>
        <w:tblW w:w="9685" w:type="dxa"/>
        <w:tblCellMar>
          <w:left w:w="70" w:type="dxa"/>
          <w:right w:w="70" w:type="dxa"/>
        </w:tblCellMar>
        <w:tblLook w:val="04A0" w:firstRow="1" w:lastRow="0" w:firstColumn="1" w:lastColumn="0" w:noHBand="0" w:noVBand="1"/>
      </w:tblPr>
      <w:tblGrid>
        <w:gridCol w:w="7977"/>
        <w:gridCol w:w="1708"/>
      </w:tblGrid>
      <w:tr w:rsidR="00CC5261" w:rsidRPr="00707DB8" w14:paraId="31A5C1C7" w14:textId="77777777" w:rsidTr="001627A4">
        <w:trPr>
          <w:trHeight w:val="288"/>
        </w:trPr>
        <w:tc>
          <w:tcPr>
            <w:tcW w:w="7977" w:type="dxa"/>
            <w:tcBorders>
              <w:top w:val="nil"/>
              <w:left w:val="nil"/>
              <w:bottom w:val="single" w:sz="8" w:space="0" w:color="9BC2E6"/>
              <w:right w:val="nil"/>
            </w:tcBorders>
            <w:shd w:val="clear" w:color="000000" w:fill="DDEBF7"/>
            <w:noWrap/>
            <w:vAlign w:val="center"/>
            <w:hideMark/>
          </w:tcPr>
          <w:p w14:paraId="3AD53CDD" w14:textId="70BCB2D5" w:rsidR="00CC5261" w:rsidRPr="00707DB8"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707DB8">
              <w:rPr>
                <w:rFonts w:ascii="Garamond" w:eastAsia="Times New Roman" w:hAnsi="Garamond" w:cs="Calibri"/>
                <w:b/>
                <w:bCs/>
                <w:color w:val="000000"/>
                <w:kern w:val="0"/>
                <w:sz w:val="20"/>
                <w:szCs w:val="20"/>
                <w:lang w:eastAsia="it-IT"/>
                <w14:ligatures w14:val="none"/>
              </w:rPr>
              <w:t>Interventi Finanziati dal Programma FSC 2014-2020</w:t>
            </w:r>
            <w:r w:rsidR="008F39B1">
              <w:rPr>
                <w:rFonts w:ascii="Garamond" w:eastAsia="Times New Roman" w:hAnsi="Garamond" w:cs="Calibri"/>
                <w:b/>
                <w:bCs/>
                <w:color w:val="000000"/>
                <w:kern w:val="0"/>
                <w:sz w:val="20"/>
                <w:szCs w:val="20"/>
                <w:lang w:eastAsia="it-IT"/>
                <w14:ligatures w14:val="none"/>
              </w:rPr>
              <w:t xml:space="preserve"> (in corso)</w:t>
            </w:r>
          </w:p>
        </w:tc>
        <w:tc>
          <w:tcPr>
            <w:tcW w:w="1708" w:type="dxa"/>
            <w:tcBorders>
              <w:top w:val="nil"/>
              <w:left w:val="nil"/>
              <w:bottom w:val="single" w:sz="8" w:space="0" w:color="9BC2E6"/>
              <w:right w:val="nil"/>
            </w:tcBorders>
            <w:shd w:val="clear" w:color="000000" w:fill="DDEBF7"/>
            <w:noWrap/>
            <w:vAlign w:val="center"/>
            <w:hideMark/>
          </w:tcPr>
          <w:p w14:paraId="218CCD1E" w14:textId="77777777" w:rsidR="00CC5261" w:rsidRPr="00707DB8" w:rsidRDefault="00CC5261" w:rsidP="001627A4">
            <w:pPr>
              <w:spacing w:after="0" w:line="240" w:lineRule="auto"/>
              <w:jc w:val="center"/>
              <w:rPr>
                <w:rFonts w:ascii="Garamond" w:eastAsia="Times New Roman" w:hAnsi="Garamond" w:cs="Calibri"/>
                <w:b/>
                <w:bCs/>
                <w:color w:val="000000"/>
                <w:kern w:val="0"/>
                <w:sz w:val="20"/>
                <w:szCs w:val="20"/>
                <w:lang w:eastAsia="it-IT"/>
                <w14:ligatures w14:val="none"/>
              </w:rPr>
            </w:pPr>
            <w:r w:rsidRPr="00707DB8">
              <w:rPr>
                <w:rFonts w:ascii="Garamond" w:eastAsia="Times New Roman" w:hAnsi="Garamond" w:cs="Calibri"/>
                <w:b/>
                <w:bCs/>
                <w:color w:val="000000"/>
                <w:kern w:val="0"/>
                <w:sz w:val="20"/>
                <w:szCs w:val="20"/>
                <w:lang w:eastAsia="it-IT"/>
                <w14:ligatures w14:val="none"/>
              </w:rPr>
              <w:t>Importo finanziato</w:t>
            </w:r>
          </w:p>
        </w:tc>
      </w:tr>
      <w:tr w:rsidR="00CC5261" w:rsidRPr="00707DB8" w14:paraId="568E411A" w14:textId="77777777" w:rsidTr="001627A4">
        <w:trPr>
          <w:trHeight w:val="1036"/>
        </w:trPr>
        <w:tc>
          <w:tcPr>
            <w:tcW w:w="7977" w:type="dxa"/>
            <w:tcBorders>
              <w:top w:val="nil"/>
              <w:left w:val="nil"/>
              <w:bottom w:val="nil"/>
              <w:right w:val="nil"/>
            </w:tcBorders>
            <w:shd w:val="clear" w:color="auto" w:fill="auto"/>
            <w:vAlign w:val="center"/>
            <w:hideMark/>
          </w:tcPr>
          <w:p w14:paraId="3F07CCE1" w14:textId="77777777" w:rsidR="00CC5261" w:rsidRPr="00707DB8"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 xml:space="preserve">A.O.R. San Carlo - Attrezzature e tecnologie per attività diagnostiche:                                             </w:t>
            </w:r>
            <w:r w:rsidRPr="00707DB8">
              <w:rPr>
                <w:rFonts w:ascii="Garamond" w:eastAsia="Times New Roman" w:hAnsi="Garamond" w:cs="Calibri"/>
                <w:color w:val="000000"/>
                <w:kern w:val="0"/>
                <w:sz w:val="16"/>
                <w:szCs w:val="16"/>
                <w:lang w:eastAsia="it-IT"/>
                <w14:ligatures w14:val="none"/>
              </w:rPr>
              <w:t>P.O. Potenza - RNM da 3 Tesla, TC fascia alta, Angiografo</w:t>
            </w:r>
            <w:r w:rsidRPr="00707DB8">
              <w:rPr>
                <w:rFonts w:ascii="Garamond" w:eastAsia="Times New Roman" w:hAnsi="Garamond" w:cs="Calibri"/>
                <w:color w:val="000000"/>
                <w:kern w:val="0"/>
                <w:sz w:val="16"/>
                <w:szCs w:val="16"/>
                <w:lang w:eastAsia="it-IT"/>
                <w14:ligatures w14:val="none"/>
              </w:rPr>
              <w:br/>
              <w:t>PO Melfi TAC, Colonna endoscopica, Telecomandato digitale, Mammografo</w:t>
            </w:r>
            <w:r w:rsidRPr="00707DB8">
              <w:rPr>
                <w:rFonts w:ascii="Garamond" w:eastAsia="Times New Roman" w:hAnsi="Garamond" w:cs="Calibri"/>
                <w:color w:val="000000"/>
                <w:kern w:val="0"/>
                <w:sz w:val="16"/>
                <w:szCs w:val="16"/>
                <w:lang w:eastAsia="it-IT"/>
                <w14:ligatures w14:val="none"/>
              </w:rPr>
              <w:br/>
              <w:t>PO Lagonegro Colonna endoscopica, Sistema Telemetria</w:t>
            </w:r>
            <w:r w:rsidRPr="00707DB8">
              <w:rPr>
                <w:rFonts w:ascii="Garamond" w:eastAsia="Times New Roman" w:hAnsi="Garamond" w:cs="Calibri"/>
                <w:color w:val="000000"/>
                <w:kern w:val="0"/>
                <w:sz w:val="16"/>
                <w:szCs w:val="16"/>
                <w:lang w:eastAsia="it-IT"/>
                <w14:ligatures w14:val="none"/>
              </w:rPr>
              <w:br/>
              <w:t xml:space="preserve">PO Villa d’Agri  Telecomandato digitale </w:t>
            </w:r>
          </w:p>
        </w:tc>
        <w:tc>
          <w:tcPr>
            <w:tcW w:w="1708" w:type="dxa"/>
            <w:tcBorders>
              <w:top w:val="nil"/>
              <w:left w:val="nil"/>
              <w:bottom w:val="nil"/>
              <w:right w:val="nil"/>
            </w:tcBorders>
            <w:shd w:val="clear" w:color="auto" w:fill="auto"/>
            <w:noWrap/>
            <w:vAlign w:val="center"/>
            <w:hideMark/>
          </w:tcPr>
          <w:p w14:paraId="294BA88F" w14:textId="77777777" w:rsidR="00CC5261" w:rsidRPr="00707DB8"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9.242.047 €</w:t>
            </w:r>
          </w:p>
        </w:tc>
      </w:tr>
      <w:tr w:rsidR="00CC5261" w:rsidRPr="00707DB8" w14:paraId="6A5B32CD" w14:textId="77777777" w:rsidTr="001627A4">
        <w:trPr>
          <w:trHeight w:val="841"/>
        </w:trPr>
        <w:tc>
          <w:tcPr>
            <w:tcW w:w="7977" w:type="dxa"/>
            <w:tcBorders>
              <w:top w:val="nil"/>
              <w:left w:val="nil"/>
              <w:bottom w:val="nil"/>
              <w:right w:val="nil"/>
            </w:tcBorders>
            <w:shd w:val="clear" w:color="auto" w:fill="auto"/>
            <w:vAlign w:val="center"/>
            <w:hideMark/>
          </w:tcPr>
          <w:p w14:paraId="2A646367" w14:textId="77777777" w:rsidR="00CC5261" w:rsidRPr="00707DB8"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 xml:space="preserve">A.O.R. San Carlo - Attrezzature e tecnologie per attività terapeutiche:                                                </w:t>
            </w:r>
            <w:r w:rsidRPr="00707DB8">
              <w:rPr>
                <w:rFonts w:ascii="Garamond" w:eastAsia="Times New Roman" w:hAnsi="Garamond" w:cs="Calibri"/>
                <w:color w:val="000000"/>
                <w:kern w:val="0"/>
                <w:sz w:val="16"/>
                <w:szCs w:val="16"/>
                <w:lang w:eastAsia="it-IT"/>
                <w14:ligatures w14:val="none"/>
              </w:rPr>
              <w:t>PO Potenza  Laser multifunzione</w:t>
            </w:r>
            <w:r w:rsidRPr="00707DB8">
              <w:rPr>
                <w:rFonts w:ascii="Garamond" w:eastAsia="Times New Roman" w:hAnsi="Garamond" w:cs="Calibri"/>
                <w:color w:val="000000"/>
                <w:kern w:val="0"/>
                <w:sz w:val="16"/>
                <w:szCs w:val="16"/>
                <w:lang w:eastAsia="it-IT"/>
                <w14:ligatures w14:val="none"/>
              </w:rPr>
              <w:br/>
              <w:t>PO Melfi Attrezzature per sala operatoria</w:t>
            </w:r>
            <w:r w:rsidRPr="00707DB8">
              <w:rPr>
                <w:rFonts w:ascii="Garamond" w:eastAsia="Times New Roman" w:hAnsi="Garamond" w:cs="Calibri"/>
                <w:color w:val="000000"/>
                <w:kern w:val="0"/>
                <w:sz w:val="16"/>
                <w:szCs w:val="16"/>
                <w:lang w:eastAsia="it-IT"/>
                <w14:ligatures w14:val="none"/>
              </w:rPr>
              <w:br/>
              <w:t xml:space="preserve">PO Lagonegro Laser pulsato urologia, </w:t>
            </w:r>
            <w:proofErr w:type="spellStart"/>
            <w:r w:rsidRPr="00707DB8">
              <w:rPr>
                <w:rFonts w:ascii="Garamond" w:eastAsia="Times New Roman" w:hAnsi="Garamond" w:cs="Calibri"/>
                <w:color w:val="000000"/>
                <w:kern w:val="0"/>
                <w:sz w:val="16"/>
                <w:szCs w:val="16"/>
                <w:lang w:eastAsia="it-IT"/>
                <w14:ligatures w14:val="none"/>
              </w:rPr>
              <w:t>Videobroncoscopio</w:t>
            </w:r>
            <w:proofErr w:type="spellEnd"/>
          </w:p>
        </w:tc>
        <w:tc>
          <w:tcPr>
            <w:tcW w:w="1708" w:type="dxa"/>
            <w:tcBorders>
              <w:top w:val="nil"/>
              <w:left w:val="nil"/>
              <w:bottom w:val="nil"/>
              <w:right w:val="nil"/>
            </w:tcBorders>
            <w:shd w:val="clear" w:color="auto" w:fill="auto"/>
            <w:noWrap/>
            <w:vAlign w:val="center"/>
            <w:hideMark/>
          </w:tcPr>
          <w:p w14:paraId="684641E7" w14:textId="77777777" w:rsidR="00CC5261" w:rsidRPr="00707DB8"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3.021.330 €</w:t>
            </w:r>
          </w:p>
        </w:tc>
      </w:tr>
      <w:tr w:rsidR="00CC5261" w:rsidRPr="00707DB8" w14:paraId="3BE0AD21" w14:textId="77777777" w:rsidTr="001627A4">
        <w:trPr>
          <w:trHeight w:val="276"/>
        </w:trPr>
        <w:tc>
          <w:tcPr>
            <w:tcW w:w="7977" w:type="dxa"/>
            <w:tcBorders>
              <w:top w:val="nil"/>
              <w:left w:val="nil"/>
              <w:bottom w:val="nil"/>
              <w:right w:val="nil"/>
            </w:tcBorders>
            <w:shd w:val="clear" w:color="auto" w:fill="auto"/>
            <w:noWrap/>
            <w:vAlign w:val="center"/>
            <w:hideMark/>
          </w:tcPr>
          <w:p w14:paraId="47B8D44A" w14:textId="77777777" w:rsidR="00CC5261" w:rsidRDefault="00CC5261" w:rsidP="001627A4">
            <w:pPr>
              <w:spacing w:after="0" w:line="240" w:lineRule="auto"/>
              <w:rPr>
                <w:rFonts w:ascii="Garamond" w:eastAsia="Times New Roman" w:hAnsi="Garamond" w:cs="Calibri"/>
                <w:color w:val="000000"/>
                <w:kern w:val="0"/>
                <w:sz w:val="20"/>
                <w:szCs w:val="20"/>
                <w:lang w:eastAsia="it-IT"/>
                <w14:ligatures w14:val="none"/>
              </w:rPr>
            </w:pPr>
          </w:p>
          <w:p w14:paraId="18B4F15A" w14:textId="77777777" w:rsidR="00CC5261"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AOR S. Carlo - Centro di Crioconservazione</w:t>
            </w:r>
          </w:p>
          <w:p w14:paraId="709BD4B2" w14:textId="77777777" w:rsidR="00CC5261" w:rsidRPr="00707DB8" w:rsidRDefault="00CC5261" w:rsidP="001627A4">
            <w:pPr>
              <w:spacing w:after="0" w:line="240" w:lineRule="auto"/>
              <w:rPr>
                <w:rFonts w:ascii="Garamond" w:eastAsia="Times New Roman" w:hAnsi="Garamond" w:cs="Calibri"/>
                <w:color w:val="000000"/>
                <w:kern w:val="0"/>
                <w:sz w:val="20"/>
                <w:szCs w:val="20"/>
                <w:lang w:eastAsia="it-IT"/>
                <w14:ligatures w14:val="none"/>
              </w:rPr>
            </w:pPr>
          </w:p>
        </w:tc>
        <w:tc>
          <w:tcPr>
            <w:tcW w:w="1708" w:type="dxa"/>
            <w:tcBorders>
              <w:top w:val="nil"/>
              <w:left w:val="nil"/>
              <w:bottom w:val="nil"/>
              <w:right w:val="nil"/>
            </w:tcBorders>
            <w:shd w:val="clear" w:color="auto" w:fill="auto"/>
            <w:noWrap/>
            <w:vAlign w:val="center"/>
            <w:hideMark/>
          </w:tcPr>
          <w:p w14:paraId="253BAA0D" w14:textId="77777777" w:rsidR="00CC5261"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p>
          <w:p w14:paraId="7CF77216" w14:textId="77777777" w:rsidR="00CC5261" w:rsidRPr="00707DB8"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Pr>
                <w:rFonts w:ascii="Garamond" w:eastAsia="Times New Roman" w:hAnsi="Garamond" w:cs="Calibri"/>
                <w:color w:val="000000"/>
                <w:kern w:val="0"/>
                <w:sz w:val="20"/>
                <w:szCs w:val="20"/>
                <w:lang w:eastAsia="it-IT"/>
                <w14:ligatures w14:val="none"/>
              </w:rPr>
              <w:t>600</w:t>
            </w:r>
            <w:r w:rsidRPr="00707DB8">
              <w:rPr>
                <w:rFonts w:ascii="Garamond" w:eastAsia="Times New Roman" w:hAnsi="Garamond" w:cs="Calibri"/>
                <w:color w:val="000000"/>
                <w:kern w:val="0"/>
                <w:sz w:val="20"/>
                <w:szCs w:val="20"/>
                <w:lang w:eastAsia="it-IT"/>
                <w14:ligatures w14:val="none"/>
              </w:rPr>
              <w:t>.000,00 €</w:t>
            </w:r>
          </w:p>
        </w:tc>
      </w:tr>
      <w:tr w:rsidR="00CC5261" w:rsidRPr="00707DB8" w14:paraId="2F19685B" w14:textId="77777777" w:rsidTr="001627A4">
        <w:trPr>
          <w:trHeight w:val="449"/>
        </w:trPr>
        <w:tc>
          <w:tcPr>
            <w:tcW w:w="7977" w:type="dxa"/>
            <w:tcBorders>
              <w:top w:val="nil"/>
              <w:left w:val="nil"/>
              <w:bottom w:val="nil"/>
              <w:right w:val="nil"/>
            </w:tcBorders>
            <w:shd w:val="clear" w:color="auto" w:fill="auto"/>
            <w:vAlign w:val="center"/>
            <w:hideMark/>
          </w:tcPr>
          <w:p w14:paraId="355E9DA3" w14:textId="77777777" w:rsidR="00CC5261" w:rsidRDefault="00CC5261" w:rsidP="001627A4">
            <w:pPr>
              <w:spacing w:after="0" w:line="240" w:lineRule="auto"/>
              <w:rPr>
                <w:rFonts w:ascii="Garamond" w:eastAsia="Times New Roman" w:hAnsi="Garamond" w:cs="Calibri"/>
                <w:color w:val="000000"/>
                <w:kern w:val="0"/>
                <w:sz w:val="18"/>
                <w:szCs w:val="18"/>
                <w:lang w:eastAsia="it-IT"/>
                <w14:ligatures w14:val="none"/>
              </w:rPr>
            </w:pPr>
          </w:p>
          <w:p w14:paraId="09D2371B" w14:textId="77777777" w:rsidR="00CC5261" w:rsidRPr="00707DB8" w:rsidRDefault="00CC5261" w:rsidP="001627A4">
            <w:pPr>
              <w:spacing w:after="0" w:line="240" w:lineRule="auto"/>
              <w:rPr>
                <w:rFonts w:ascii="Garamond" w:eastAsia="Times New Roman" w:hAnsi="Garamond" w:cs="Calibri"/>
                <w:color w:val="000000"/>
                <w:kern w:val="0"/>
                <w:sz w:val="18"/>
                <w:szCs w:val="18"/>
                <w:lang w:eastAsia="it-IT"/>
                <w14:ligatures w14:val="none"/>
              </w:rPr>
            </w:pPr>
            <w:r w:rsidRPr="00707DB8">
              <w:rPr>
                <w:rFonts w:ascii="Garamond" w:eastAsia="Times New Roman" w:hAnsi="Garamond" w:cs="Calibri"/>
                <w:color w:val="000000"/>
                <w:kern w:val="0"/>
                <w:sz w:val="18"/>
                <w:szCs w:val="18"/>
                <w:lang w:eastAsia="it-IT"/>
                <w14:ligatures w14:val="none"/>
              </w:rPr>
              <w:t>A.O.R. San Carlo - Rinnovo del Parco Tecnologico Ospedale di Lagonegro                                                                                                 Mammografo, TAC, Telecomandato Radiologia</w:t>
            </w:r>
          </w:p>
        </w:tc>
        <w:tc>
          <w:tcPr>
            <w:tcW w:w="1708" w:type="dxa"/>
            <w:tcBorders>
              <w:top w:val="nil"/>
              <w:left w:val="nil"/>
              <w:bottom w:val="nil"/>
              <w:right w:val="nil"/>
            </w:tcBorders>
            <w:shd w:val="clear" w:color="auto" w:fill="auto"/>
            <w:noWrap/>
            <w:vAlign w:val="center"/>
            <w:hideMark/>
          </w:tcPr>
          <w:p w14:paraId="6098C5D2" w14:textId="77777777" w:rsidR="00CC5261"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p>
          <w:p w14:paraId="5FEA0046" w14:textId="77777777" w:rsidR="00CC5261" w:rsidRPr="00707DB8"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688.000,00 €</w:t>
            </w:r>
          </w:p>
        </w:tc>
      </w:tr>
      <w:tr w:rsidR="00CC5261" w:rsidRPr="00707DB8" w14:paraId="53286C71" w14:textId="77777777" w:rsidTr="001627A4">
        <w:trPr>
          <w:trHeight w:val="276"/>
        </w:trPr>
        <w:tc>
          <w:tcPr>
            <w:tcW w:w="7977" w:type="dxa"/>
            <w:tcBorders>
              <w:top w:val="nil"/>
              <w:left w:val="nil"/>
              <w:bottom w:val="nil"/>
              <w:right w:val="nil"/>
            </w:tcBorders>
            <w:shd w:val="clear" w:color="auto" w:fill="auto"/>
            <w:noWrap/>
            <w:vAlign w:val="center"/>
            <w:hideMark/>
          </w:tcPr>
          <w:p w14:paraId="7CC52640" w14:textId="77777777" w:rsidR="00CC5261" w:rsidRDefault="00CC5261" w:rsidP="001627A4">
            <w:pPr>
              <w:spacing w:after="0" w:line="240" w:lineRule="auto"/>
              <w:rPr>
                <w:rFonts w:ascii="Garamond" w:eastAsia="Times New Roman" w:hAnsi="Garamond" w:cs="Calibri"/>
                <w:color w:val="000000"/>
                <w:kern w:val="0"/>
                <w:sz w:val="20"/>
                <w:szCs w:val="20"/>
                <w:lang w:eastAsia="it-IT"/>
                <w14:ligatures w14:val="none"/>
              </w:rPr>
            </w:pPr>
          </w:p>
          <w:p w14:paraId="3259521F" w14:textId="77777777" w:rsidR="00CC5261" w:rsidRPr="00707DB8"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 xml:space="preserve">A.O.R. San Carlo - Allestimento di n. 1 sala operatoria ibrida per cardiochirurgia vascolare </w:t>
            </w:r>
          </w:p>
        </w:tc>
        <w:tc>
          <w:tcPr>
            <w:tcW w:w="1708" w:type="dxa"/>
            <w:tcBorders>
              <w:top w:val="nil"/>
              <w:left w:val="nil"/>
              <w:bottom w:val="nil"/>
              <w:right w:val="nil"/>
            </w:tcBorders>
            <w:shd w:val="clear" w:color="auto" w:fill="auto"/>
            <w:noWrap/>
            <w:vAlign w:val="center"/>
            <w:hideMark/>
          </w:tcPr>
          <w:p w14:paraId="27B04641" w14:textId="77777777" w:rsidR="00CC5261"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p>
          <w:p w14:paraId="30840108" w14:textId="77777777" w:rsidR="00CC5261" w:rsidRPr="00707DB8"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2.500.000,00 €</w:t>
            </w:r>
          </w:p>
        </w:tc>
      </w:tr>
      <w:tr w:rsidR="00CC5261" w:rsidRPr="00707DB8" w14:paraId="14A18777" w14:textId="77777777" w:rsidTr="001627A4">
        <w:trPr>
          <w:trHeight w:val="276"/>
        </w:trPr>
        <w:tc>
          <w:tcPr>
            <w:tcW w:w="7977" w:type="dxa"/>
            <w:tcBorders>
              <w:top w:val="nil"/>
              <w:left w:val="nil"/>
              <w:bottom w:val="nil"/>
              <w:right w:val="nil"/>
            </w:tcBorders>
            <w:shd w:val="clear" w:color="auto" w:fill="auto"/>
            <w:noWrap/>
            <w:vAlign w:val="center"/>
            <w:hideMark/>
          </w:tcPr>
          <w:p w14:paraId="50D51167" w14:textId="77777777" w:rsidR="00CC5261" w:rsidRDefault="00CC5261" w:rsidP="001627A4">
            <w:pPr>
              <w:spacing w:after="0" w:line="240" w:lineRule="auto"/>
              <w:rPr>
                <w:rFonts w:ascii="Garamond" w:eastAsia="Times New Roman" w:hAnsi="Garamond" w:cs="Calibri"/>
                <w:color w:val="000000"/>
                <w:kern w:val="0"/>
                <w:sz w:val="20"/>
                <w:szCs w:val="20"/>
                <w:lang w:eastAsia="it-IT"/>
                <w14:ligatures w14:val="none"/>
              </w:rPr>
            </w:pPr>
          </w:p>
          <w:p w14:paraId="19097AE8" w14:textId="77777777" w:rsidR="00CC5261" w:rsidRPr="00707DB8"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A.S.M. - Sala Parto P.O. Madonna delle Grazie</w:t>
            </w:r>
          </w:p>
        </w:tc>
        <w:tc>
          <w:tcPr>
            <w:tcW w:w="1708" w:type="dxa"/>
            <w:tcBorders>
              <w:top w:val="nil"/>
              <w:left w:val="nil"/>
              <w:bottom w:val="nil"/>
              <w:right w:val="nil"/>
            </w:tcBorders>
            <w:shd w:val="clear" w:color="auto" w:fill="auto"/>
            <w:noWrap/>
            <w:vAlign w:val="center"/>
            <w:hideMark/>
          </w:tcPr>
          <w:p w14:paraId="1BBCCBA2" w14:textId="77777777" w:rsidR="00CC5261"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p>
          <w:p w14:paraId="34DCC5EB" w14:textId="77777777" w:rsidR="00CC5261" w:rsidRPr="00707DB8"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1.600.000,00 €</w:t>
            </w:r>
          </w:p>
        </w:tc>
      </w:tr>
      <w:tr w:rsidR="00CC5261" w:rsidRPr="00707DB8" w14:paraId="2A377B66" w14:textId="77777777" w:rsidTr="001627A4">
        <w:trPr>
          <w:trHeight w:val="460"/>
        </w:trPr>
        <w:tc>
          <w:tcPr>
            <w:tcW w:w="7977" w:type="dxa"/>
            <w:tcBorders>
              <w:top w:val="nil"/>
              <w:left w:val="nil"/>
              <w:bottom w:val="nil"/>
              <w:right w:val="nil"/>
            </w:tcBorders>
            <w:shd w:val="clear" w:color="auto" w:fill="auto"/>
            <w:vAlign w:val="center"/>
            <w:hideMark/>
          </w:tcPr>
          <w:p w14:paraId="13D69176" w14:textId="77777777" w:rsidR="00CC5261" w:rsidRDefault="00CC5261" w:rsidP="001627A4">
            <w:pPr>
              <w:spacing w:after="0" w:line="240" w:lineRule="auto"/>
              <w:rPr>
                <w:rFonts w:ascii="Garamond" w:eastAsia="Times New Roman" w:hAnsi="Garamond" w:cs="Calibri"/>
                <w:color w:val="000000"/>
                <w:kern w:val="0"/>
                <w:sz w:val="20"/>
                <w:szCs w:val="20"/>
                <w:lang w:eastAsia="it-IT"/>
                <w14:ligatures w14:val="none"/>
              </w:rPr>
            </w:pPr>
          </w:p>
          <w:p w14:paraId="29971C4F" w14:textId="77777777" w:rsidR="00CC5261" w:rsidRPr="00707DB8"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 xml:space="preserve">A.S.M. - Rinnovo Parco Tecnologico                                                                                                        </w:t>
            </w:r>
            <w:r w:rsidRPr="00707DB8">
              <w:rPr>
                <w:rFonts w:ascii="Garamond" w:eastAsia="Times New Roman" w:hAnsi="Garamond" w:cs="Calibri"/>
                <w:color w:val="000000"/>
                <w:kern w:val="0"/>
                <w:sz w:val="16"/>
                <w:szCs w:val="16"/>
                <w:lang w:eastAsia="it-IT"/>
                <w14:ligatures w14:val="none"/>
              </w:rPr>
              <w:t xml:space="preserve">Strumentario chirurgico, Attrezzatura fisica sanitaria, Ecotomografi, Sistemi ossigenazione  </w:t>
            </w:r>
          </w:p>
        </w:tc>
        <w:tc>
          <w:tcPr>
            <w:tcW w:w="1708" w:type="dxa"/>
            <w:tcBorders>
              <w:top w:val="nil"/>
              <w:left w:val="nil"/>
              <w:bottom w:val="nil"/>
              <w:right w:val="nil"/>
            </w:tcBorders>
            <w:shd w:val="clear" w:color="auto" w:fill="auto"/>
            <w:noWrap/>
            <w:vAlign w:val="center"/>
            <w:hideMark/>
          </w:tcPr>
          <w:p w14:paraId="2525BE45" w14:textId="77777777" w:rsidR="00CC5261"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p>
          <w:p w14:paraId="3401200E" w14:textId="77777777" w:rsidR="00CC5261" w:rsidRPr="00707DB8" w:rsidRDefault="00CC5261" w:rsidP="001627A4">
            <w:pPr>
              <w:spacing w:after="0" w:line="240" w:lineRule="auto"/>
              <w:jc w:val="right"/>
              <w:rPr>
                <w:rFonts w:ascii="Garamond" w:eastAsia="Times New Roman" w:hAnsi="Garamond" w:cs="Calibri"/>
                <w:color w:val="000000"/>
                <w:kern w:val="0"/>
                <w:sz w:val="20"/>
                <w:szCs w:val="20"/>
                <w:lang w:eastAsia="it-IT"/>
                <w14:ligatures w14:val="none"/>
              </w:rPr>
            </w:pPr>
            <w:r w:rsidRPr="00707DB8">
              <w:rPr>
                <w:rFonts w:ascii="Garamond" w:eastAsia="Times New Roman" w:hAnsi="Garamond" w:cs="Calibri"/>
                <w:color w:val="000000"/>
                <w:kern w:val="0"/>
                <w:sz w:val="20"/>
                <w:szCs w:val="20"/>
                <w:lang w:eastAsia="it-IT"/>
                <w14:ligatures w14:val="none"/>
              </w:rPr>
              <w:t>1.000.000,00 €</w:t>
            </w:r>
          </w:p>
        </w:tc>
      </w:tr>
      <w:tr w:rsidR="00CC5261" w:rsidRPr="00707DB8" w14:paraId="3DC8E290" w14:textId="77777777" w:rsidTr="001627A4">
        <w:trPr>
          <w:trHeight w:val="288"/>
        </w:trPr>
        <w:tc>
          <w:tcPr>
            <w:tcW w:w="7977" w:type="dxa"/>
            <w:tcBorders>
              <w:top w:val="nil"/>
              <w:left w:val="nil"/>
              <w:bottom w:val="single" w:sz="8" w:space="0" w:color="9BC2E6"/>
              <w:right w:val="nil"/>
            </w:tcBorders>
            <w:shd w:val="clear" w:color="000000" w:fill="DDEBF7"/>
            <w:noWrap/>
            <w:vAlign w:val="center"/>
            <w:hideMark/>
          </w:tcPr>
          <w:p w14:paraId="2D85C861" w14:textId="77777777" w:rsidR="00CC5261" w:rsidRPr="00707DB8"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707DB8">
              <w:rPr>
                <w:rFonts w:ascii="Garamond" w:eastAsia="Times New Roman" w:hAnsi="Garamond" w:cs="Calibri"/>
                <w:b/>
                <w:bCs/>
                <w:color w:val="000000"/>
                <w:kern w:val="0"/>
                <w:sz w:val="20"/>
                <w:szCs w:val="20"/>
                <w:lang w:eastAsia="it-IT"/>
                <w14:ligatures w14:val="none"/>
              </w:rPr>
              <w:t>Totale complessivo</w:t>
            </w:r>
          </w:p>
        </w:tc>
        <w:tc>
          <w:tcPr>
            <w:tcW w:w="1708" w:type="dxa"/>
            <w:tcBorders>
              <w:top w:val="single" w:sz="8" w:space="0" w:color="9BC2E6"/>
              <w:left w:val="nil"/>
              <w:bottom w:val="nil"/>
              <w:right w:val="nil"/>
            </w:tcBorders>
            <w:shd w:val="clear" w:color="000000" w:fill="DDEBF7"/>
            <w:noWrap/>
            <w:vAlign w:val="center"/>
            <w:hideMark/>
          </w:tcPr>
          <w:p w14:paraId="0065004B" w14:textId="77777777" w:rsidR="00CC5261" w:rsidRPr="00707DB8" w:rsidRDefault="00CC5261" w:rsidP="001627A4">
            <w:pPr>
              <w:spacing w:after="0" w:line="240" w:lineRule="auto"/>
              <w:jc w:val="right"/>
              <w:rPr>
                <w:rFonts w:ascii="Garamond" w:eastAsia="Times New Roman" w:hAnsi="Garamond" w:cs="Calibri"/>
                <w:b/>
                <w:bCs/>
                <w:color w:val="000000"/>
                <w:kern w:val="0"/>
                <w:sz w:val="20"/>
                <w:szCs w:val="20"/>
                <w:lang w:eastAsia="it-IT"/>
                <w14:ligatures w14:val="none"/>
              </w:rPr>
            </w:pPr>
            <w:r w:rsidRPr="00707DB8">
              <w:rPr>
                <w:rFonts w:ascii="Garamond" w:eastAsia="Times New Roman" w:hAnsi="Garamond" w:cs="Calibri"/>
                <w:b/>
                <w:bCs/>
                <w:color w:val="000000"/>
                <w:kern w:val="0"/>
                <w:sz w:val="20"/>
                <w:szCs w:val="20"/>
                <w:lang w:eastAsia="it-IT"/>
                <w14:ligatures w14:val="none"/>
              </w:rPr>
              <w:t>18.651.376,73 €</w:t>
            </w:r>
          </w:p>
        </w:tc>
      </w:tr>
    </w:tbl>
    <w:p w14:paraId="5EA87352" w14:textId="77777777" w:rsidR="00CC5261" w:rsidRPr="004A203A" w:rsidRDefault="00CC5261" w:rsidP="00CC5261">
      <w:pPr>
        <w:spacing w:after="0" w:line="240" w:lineRule="auto"/>
      </w:pPr>
    </w:p>
    <w:p w14:paraId="2E762810" w14:textId="77777777" w:rsidR="00CC5261" w:rsidRDefault="00CC5261" w:rsidP="00CC5261">
      <w:pPr>
        <w:spacing w:after="0" w:line="240" w:lineRule="auto"/>
        <w:jc w:val="both"/>
        <w:rPr>
          <w:b/>
          <w:bCs/>
        </w:rPr>
      </w:pPr>
      <w:r>
        <w:lastRenderedPageBreak/>
        <w:t xml:space="preserve">Sui Fondi </w:t>
      </w:r>
      <w:r w:rsidRPr="001B540E">
        <w:rPr>
          <w:b/>
          <w:bCs/>
        </w:rPr>
        <w:t xml:space="preserve">FSC  2021 -2027 </w:t>
      </w:r>
      <w:r>
        <w:t>sono stati programmati interventi per il finanziamento dell’</w:t>
      </w:r>
      <w:r w:rsidRPr="001B540E">
        <w:rPr>
          <w:b/>
          <w:bCs/>
        </w:rPr>
        <w:t>ammodernamento del parco tecnologico delle Aziende del SSR</w:t>
      </w:r>
      <w:r>
        <w:t xml:space="preserve"> per ulteriori </w:t>
      </w:r>
      <w:r w:rsidRPr="001B540E">
        <w:rPr>
          <w:b/>
          <w:bCs/>
        </w:rPr>
        <w:t>3 milioni di euro</w:t>
      </w:r>
      <w:r>
        <w:rPr>
          <w:b/>
          <w:bCs/>
        </w:rPr>
        <w:t>:</w:t>
      </w:r>
    </w:p>
    <w:p w14:paraId="05EBAF14" w14:textId="77777777" w:rsidR="00CC5261" w:rsidRDefault="00CC5261" w:rsidP="00CC5261">
      <w:pPr>
        <w:spacing w:after="0" w:line="240" w:lineRule="auto"/>
        <w:jc w:val="both"/>
        <w:rPr>
          <w:b/>
          <w:bCs/>
        </w:rPr>
      </w:pPr>
    </w:p>
    <w:tbl>
      <w:tblPr>
        <w:tblW w:w="9473" w:type="dxa"/>
        <w:tblCellMar>
          <w:left w:w="70" w:type="dxa"/>
          <w:right w:w="70" w:type="dxa"/>
        </w:tblCellMar>
        <w:tblLook w:val="04A0" w:firstRow="1" w:lastRow="0" w:firstColumn="1" w:lastColumn="0" w:noHBand="0" w:noVBand="1"/>
      </w:tblPr>
      <w:tblGrid>
        <w:gridCol w:w="9473"/>
      </w:tblGrid>
      <w:tr w:rsidR="00CC5261" w:rsidRPr="00AA4C1E" w14:paraId="7CBBEDDB" w14:textId="77777777" w:rsidTr="001627A4">
        <w:trPr>
          <w:trHeight w:val="294"/>
        </w:trPr>
        <w:tc>
          <w:tcPr>
            <w:tcW w:w="9473" w:type="dxa"/>
            <w:tcBorders>
              <w:top w:val="nil"/>
              <w:left w:val="nil"/>
              <w:bottom w:val="single" w:sz="8" w:space="0" w:color="9BC2E6"/>
              <w:right w:val="nil"/>
            </w:tcBorders>
            <w:shd w:val="clear" w:color="000000" w:fill="DDEBF7"/>
            <w:noWrap/>
            <w:vAlign w:val="center"/>
            <w:hideMark/>
          </w:tcPr>
          <w:p w14:paraId="3DA84DC2" w14:textId="7DDC72B6" w:rsidR="00CC5261" w:rsidRPr="00AA4C1E"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AA4C1E">
              <w:rPr>
                <w:rFonts w:ascii="Garamond" w:eastAsia="Times New Roman" w:hAnsi="Garamond" w:cs="Calibri"/>
                <w:b/>
                <w:bCs/>
                <w:color w:val="000000"/>
                <w:kern w:val="0"/>
                <w:sz w:val="20"/>
                <w:szCs w:val="20"/>
                <w:lang w:eastAsia="it-IT"/>
                <w14:ligatures w14:val="none"/>
              </w:rPr>
              <w:t>Interventi Finanziati dal Programma FSC 202</w:t>
            </w:r>
            <w:r>
              <w:rPr>
                <w:rFonts w:ascii="Garamond" w:eastAsia="Times New Roman" w:hAnsi="Garamond" w:cs="Calibri"/>
                <w:b/>
                <w:bCs/>
                <w:color w:val="000000"/>
                <w:kern w:val="0"/>
                <w:sz w:val="20"/>
                <w:szCs w:val="20"/>
                <w:lang w:eastAsia="it-IT"/>
                <w14:ligatures w14:val="none"/>
              </w:rPr>
              <w:t>1</w:t>
            </w:r>
            <w:r w:rsidRPr="00AA4C1E">
              <w:rPr>
                <w:rFonts w:ascii="Garamond" w:eastAsia="Times New Roman" w:hAnsi="Garamond" w:cs="Calibri"/>
                <w:b/>
                <w:bCs/>
                <w:color w:val="000000"/>
                <w:kern w:val="0"/>
                <w:sz w:val="20"/>
                <w:szCs w:val="20"/>
                <w:lang w:eastAsia="it-IT"/>
                <w14:ligatures w14:val="none"/>
              </w:rPr>
              <w:t>-2027</w:t>
            </w:r>
          </w:p>
        </w:tc>
      </w:tr>
      <w:tr w:rsidR="00CC5261" w:rsidRPr="00AA4C1E" w14:paraId="45728E02" w14:textId="77777777" w:rsidTr="001627A4">
        <w:trPr>
          <w:trHeight w:val="282"/>
        </w:trPr>
        <w:tc>
          <w:tcPr>
            <w:tcW w:w="9473" w:type="dxa"/>
            <w:tcBorders>
              <w:top w:val="nil"/>
              <w:left w:val="nil"/>
              <w:bottom w:val="nil"/>
              <w:right w:val="nil"/>
            </w:tcBorders>
            <w:shd w:val="clear" w:color="auto" w:fill="auto"/>
            <w:vAlign w:val="center"/>
            <w:hideMark/>
          </w:tcPr>
          <w:p w14:paraId="50A0D75B" w14:textId="77777777" w:rsidR="00CC5261" w:rsidRPr="00AA4C1E"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AA4C1E">
              <w:rPr>
                <w:rFonts w:ascii="Garamond" w:eastAsia="Times New Roman" w:hAnsi="Garamond" w:cs="Calibri"/>
                <w:color w:val="000000"/>
                <w:kern w:val="0"/>
                <w:sz w:val="20"/>
                <w:szCs w:val="20"/>
                <w:lang w:eastAsia="it-IT"/>
                <w14:ligatures w14:val="none"/>
              </w:rPr>
              <w:t>A.S.P. -</w:t>
            </w:r>
            <w:r w:rsidRPr="00AA4C1E">
              <w:rPr>
                <w:rFonts w:ascii="Garamond" w:eastAsia="Times New Roman" w:hAnsi="Garamond" w:cs="Calibri"/>
                <w:color w:val="000000"/>
                <w:kern w:val="0"/>
                <w:sz w:val="16"/>
                <w:szCs w:val="16"/>
                <w:lang w:eastAsia="it-IT"/>
                <w14:ligatures w14:val="none"/>
              </w:rPr>
              <w:t>Apparecchiature e attrezzature specialistiche</w:t>
            </w:r>
          </w:p>
        </w:tc>
      </w:tr>
      <w:tr w:rsidR="00CC5261" w:rsidRPr="00AA4C1E" w14:paraId="6D3E04E4" w14:textId="77777777" w:rsidTr="001627A4">
        <w:trPr>
          <w:trHeight w:val="282"/>
        </w:trPr>
        <w:tc>
          <w:tcPr>
            <w:tcW w:w="9473" w:type="dxa"/>
            <w:tcBorders>
              <w:top w:val="nil"/>
              <w:left w:val="nil"/>
              <w:bottom w:val="nil"/>
              <w:right w:val="nil"/>
            </w:tcBorders>
            <w:shd w:val="clear" w:color="auto" w:fill="auto"/>
            <w:vAlign w:val="center"/>
            <w:hideMark/>
          </w:tcPr>
          <w:p w14:paraId="56BEB54C" w14:textId="77777777" w:rsidR="00CC5261" w:rsidRPr="00AA4C1E"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AA4C1E">
              <w:rPr>
                <w:rFonts w:ascii="Garamond" w:eastAsia="Times New Roman" w:hAnsi="Garamond" w:cs="Calibri"/>
                <w:color w:val="000000"/>
                <w:kern w:val="0"/>
                <w:sz w:val="20"/>
                <w:szCs w:val="20"/>
                <w:lang w:eastAsia="it-IT"/>
                <w14:ligatures w14:val="none"/>
              </w:rPr>
              <w:t xml:space="preserve">A.O.R. San Carlo - </w:t>
            </w:r>
            <w:r w:rsidRPr="00AA4C1E">
              <w:rPr>
                <w:rFonts w:ascii="Garamond" w:eastAsia="Times New Roman" w:hAnsi="Garamond" w:cs="Calibri"/>
                <w:color w:val="000000"/>
                <w:kern w:val="0"/>
                <w:sz w:val="16"/>
                <w:szCs w:val="16"/>
                <w:lang w:eastAsia="it-IT"/>
                <w14:ligatures w14:val="none"/>
              </w:rPr>
              <w:t xml:space="preserve">Autoclavi e Sistema </w:t>
            </w:r>
            <w:proofErr w:type="spellStart"/>
            <w:r w:rsidRPr="00AA4C1E">
              <w:rPr>
                <w:rFonts w:ascii="Garamond" w:eastAsia="Times New Roman" w:hAnsi="Garamond" w:cs="Calibri"/>
                <w:color w:val="000000"/>
                <w:kern w:val="0"/>
                <w:sz w:val="16"/>
                <w:szCs w:val="16"/>
                <w:lang w:eastAsia="it-IT"/>
                <w14:ligatures w14:val="none"/>
              </w:rPr>
              <w:t>Ebus</w:t>
            </w:r>
            <w:proofErr w:type="spellEnd"/>
            <w:r w:rsidRPr="00AA4C1E">
              <w:rPr>
                <w:rFonts w:ascii="Garamond" w:eastAsia="Times New Roman" w:hAnsi="Garamond" w:cs="Calibri"/>
                <w:color w:val="000000"/>
                <w:kern w:val="0"/>
                <w:sz w:val="16"/>
                <w:szCs w:val="16"/>
                <w:lang w:eastAsia="it-IT"/>
                <w14:ligatures w14:val="none"/>
              </w:rPr>
              <w:t xml:space="preserve"> con Ecosonde per lo </w:t>
            </w:r>
            <w:proofErr w:type="spellStart"/>
            <w:r w:rsidRPr="00AA4C1E">
              <w:rPr>
                <w:rFonts w:ascii="Garamond" w:eastAsia="Times New Roman" w:hAnsi="Garamond" w:cs="Calibri"/>
                <w:color w:val="000000"/>
                <w:kern w:val="0"/>
                <w:sz w:val="16"/>
                <w:szCs w:val="16"/>
                <w:lang w:eastAsia="it-IT"/>
                <w14:ligatures w14:val="none"/>
              </w:rPr>
              <w:t>sudio</w:t>
            </w:r>
            <w:proofErr w:type="spellEnd"/>
            <w:r w:rsidRPr="00AA4C1E">
              <w:rPr>
                <w:rFonts w:ascii="Garamond" w:eastAsia="Times New Roman" w:hAnsi="Garamond" w:cs="Calibri"/>
                <w:color w:val="000000"/>
                <w:kern w:val="0"/>
                <w:sz w:val="16"/>
                <w:szCs w:val="16"/>
                <w:lang w:eastAsia="it-IT"/>
                <w14:ligatures w14:val="none"/>
              </w:rPr>
              <w:t xml:space="preserve"> di noduli polmonari</w:t>
            </w:r>
          </w:p>
        </w:tc>
      </w:tr>
      <w:tr w:rsidR="00CC5261" w:rsidRPr="00AA4C1E" w14:paraId="02D0CEC5" w14:textId="77777777" w:rsidTr="001627A4">
        <w:trPr>
          <w:trHeight w:val="282"/>
        </w:trPr>
        <w:tc>
          <w:tcPr>
            <w:tcW w:w="9473" w:type="dxa"/>
            <w:tcBorders>
              <w:top w:val="nil"/>
              <w:left w:val="nil"/>
              <w:bottom w:val="nil"/>
              <w:right w:val="nil"/>
            </w:tcBorders>
            <w:shd w:val="clear" w:color="auto" w:fill="auto"/>
            <w:noWrap/>
            <w:vAlign w:val="center"/>
            <w:hideMark/>
          </w:tcPr>
          <w:p w14:paraId="7F4E8853" w14:textId="77777777" w:rsidR="00CC5261" w:rsidRPr="00AA4C1E" w:rsidRDefault="00CC5261" w:rsidP="001627A4">
            <w:pPr>
              <w:spacing w:after="0" w:line="240" w:lineRule="auto"/>
              <w:rPr>
                <w:rFonts w:ascii="Garamond" w:eastAsia="Times New Roman" w:hAnsi="Garamond" w:cs="Calibri"/>
                <w:color w:val="000000"/>
                <w:kern w:val="0"/>
                <w:sz w:val="20"/>
                <w:szCs w:val="20"/>
                <w:lang w:eastAsia="it-IT"/>
                <w14:ligatures w14:val="none"/>
              </w:rPr>
            </w:pPr>
            <w:r w:rsidRPr="00AA4C1E">
              <w:rPr>
                <w:rFonts w:ascii="Garamond" w:eastAsia="Times New Roman" w:hAnsi="Garamond" w:cs="Calibri"/>
                <w:color w:val="000000"/>
                <w:kern w:val="0"/>
                <w:sz w:val="20"/>
                <w:szCs w:val="20"/>
                <w:lang w:eastAsia="it-IT"/>
                <w14:ligatures w14:val="none"/>
              </w:rPr>
              <w:t xml:space="preserve">A.S.M. - </w:t>
            </w:r>
            <w:r w:rsidRPr="00AA4C1E">
              <w:rPr>
                <w:rFonts w:ascii="Garamond" w:eastAsia="Times New Roman" w:hAnsi="Garamond" w:cs="Calibri"/>
                <w:color w:val="000000"/>
                <w:kern w:val="0"/>
                <w:sz w:val="16"/>
                <w:szCs w:val="16"/>
                <w:lang w:eastAsia="it-IT"/>
                <w14:ligatures w14:val="none"/>
              </w:rPr>
              <w:t xml:space="preserve">Aggiornamento di un sistema cardiologico informatizzato </w:t>
            </w:r>
          </w:p>
        </w:tc>
      </w:tr>
      <w:tr w:rsidR="00CC5261" w:rsidRPr="00AA4C1E" w14:paraId="4B3C8931" w14:textId="77777777" w:rsidTr="001627A4">
        <w:trPr>
          <w:trHeight w:val="294"/>
        </w:trPr>
        <w:tc>
          <w:tcPr>
            <w:tcW w:w="9473" w:type="dxa"/>
            <w:tcBorders>
              <w:top w:val="nil"/>
              <w:left w:val="nil"/>
              <w:bottom w:val="single" w:sz="8" w:space="0" w:color="9BC2E6"/>
              <w:right w:val="nil"/>
            </w:tcBorders>
            <w:shd w:val="clear" w:color="000000" w:fill="DDEBF7"/>
            <w:noWrap/>
            <w:vAlign w:val="center"/>
            <w:hideMark/>
          </w:tcPr>
          <w:p w14:paraId="1F98FD5D" w14:textId="77777777" w:rsidR="00CC5261" w:rsidRPr="00AA4C1E" w:rsidRDefault="00CC5261" w:rsidP="001627A4">
            <w:pPr>
              <w:spacing w:after="0" w:line="240" w:lineRule="auto"/>
              <w:rPr>
                <w:rFonts w:ascii="Garamond" w:eastAsia="Times New Roman" w:hAnsi="Garamond" w:cs="Calibri"/>
                <w:b/>
                <w:bCs/>
                <w:color w:val="000000"/>
                <w:kern w:val="0"/>
                <w:sz w:val="20"/>
                <w:szCs w:val="20"/>
                <w:lang w:eastAsia="it-IT"/>
                <w14:ligatures w14:val="none"/>
              </w:rPr>
            </w:pPr>
            <w:r w:rsidRPr="00AA4C1E">
              <w:rPr>
                <w:rFonts w:ascii="Garamond" w:eastAsia="Times New Roman" w:hAnsi="Garamond" w:cs="Calibri"/>
                <w:b/>
                <w:bCs/>
                <w:color w:val="000000"/>
                <w:kern w:val="0"/>
                <w:sz w:val="20"/>
                <w:szCs w:val="20"/>
                <w:lang w:eastAsia="it-IT"/>
                <w14:ligatures w14:val="none"/>
              </w:rPr>
              <w:t xml:space="preserve">Importo Complessivo                                      </w:t>
            </w:r>
            <w:r>
              <w:rPr>
                <w:rFonts w:ascii="Garamond" w:eastAsia="Times New Roman" w:hAnsi="Garamond" w:cs="Calibri"/>
                <w:b/>
                <w:bCs/>
                <w:color w:val="000000"/>
                <w:kern w:val="0"/>
                <w:sz w:val="20"/>
                <w:szCs w:val="20"/>
                <w:lang w:eastAsia="it-IT"/>
                <w14:ligatures w14:val="none"/>
              </w:rPr>
              <w:t xml:space="preserve"> </w:t>
            </w:r>
            <w:r w:rsidRPr="00AA4C1E">
              <w:rPr>
                <w:rFonts w:ascii="Garamond" w:eastAsia="Times New Roman" w:hAnsi="Garamond" w:cs="Calibri"/>
                <w:b/>
                <w:bCs/>
                <w:color w:val="000000"/>
                <w:kern w:val="0"/>
                <w:sz w:val="20"/>
                <w:szCs w:val="20"/>
                <w:lang w:eastAsia="it-IT"/>
                <w14:ligatures w14:val="none"/>
              </w:rPr>
              <w:t xml:space="preserve"> € 3 ML</w:t>
            </w:r>
          </w:p>
        </w:tc>
      </w:tr>
    </w:tbl>
    <w:p w14:paraId="45C868ED" w14:textId="77777777" w:rsidR="008F39B1" w:rsidRDefault="008F39B1" w:rsidP="00CC5261">
      <w:pPr>
        <w:spacing w:after="0" w:line="240" w:lineRule="auto"/>
        <w:rPr>
          <w:b/>
          <w:bCs/>
        </w:rPr>
      </w:pPr>
    </w:p>
    <w:p w14:paraId="060BAE10" w14:textId="79BAC77F" w:rsidR="00CC5261" w:rsidRPr="008F39B1" w:rsidRDefault="008F39B1" w:rsidP="00CC5261">
      <w:pPr>
        <w:spacing w:after="0" w:line="240" w:lineRule="auto"/>
        <w:rPr>
          <w:b/>
          <w:bCs/>
          <w:sz w:val="24"/>
          <w:szCs w:val="24"/>
          <w:u w:val="single"/>
        </w:rPr>
      </w:pPr>
      <w:r w:rsidRPr="008F39B1">
        <w:rPr>
          <w:b/>
          <w:bCs/>
          <w:sz w:val="24"/>
          <w:szCs w:val="24"/>
          <w:u w:val="single"/>
        </w:rPr>
        <w:t xml:space="preserve">3 - </w:t>
      </w:r>
      <w:r w:rsidR="00CC5261" w:rsidRPr="008F39B1">
        <w:rPr>
          <w:b/>
          <w:bCs/>
          <w:sz w:val="24"/>
          <w:szCs w:val="24"/>
          <w:u w:val="single"/>
        </w:rPr>
        <w:t>Reti di prossimità e strutture intermedie</w:t>
      </w:r>
    </w:p>
    <w:p w14:paraId="09215450" w14:textId="77777777" w:rsidR="00CC5261" w:rsidRPr="00872A0C" w:rsidRDefault="00CC5261" w:rsidP="00CC5261">
      <w:pPr>
        <w:spacing w:after="0" w:line="240" w:lineRule="auto"/>
        <w:rPr>
          <w:b/>
          <w:bCs/>
          <w:sz w:val="24"/>
          <w:szCs w:val="24"/>
          <w:u w:val="single"/>
        </w:rPr>
      </w:pPr>
    </w:p>
    <w:p w14:paraId="5EAC32E3" w14:textId="608C350F" w:rsidR="00CC5261" w:rsidRDefault="00CC5261" w:rsidP="00CC5261">
      <w:pPr>
        <w:pStyle w:val="Paragrafoelenco"/>
        <w:numPr>
          <w:ilvl w:val="0"/>
          <w:numId w:val="39"/>
        </w:numPr>
        <w:jc w:val="both"/>
        <w:rPr>
          <w:b/>
        </w:rPr>
      </w:pPr>
      <w:r>
        <w:rPr>
          <w:b/>
        </w:rPr>
        <w:t xml:space="preserve">PNRR - </w:t>
      </w:r>
      <w:r w:rsidRPr="005C02BC">
        <w:rPr>
          <w:b/>
        </w:rPr>
        <w:t>M6|C1.2.2 “</w:t>
      </w:r>
      <w:r w:rsidRPr="00792AD5">
        <w:rPr>
          <w:b/>
          <w:u w:val="single"/>
        </w:rPr>
        <w:t>COT, interconnessione aziendale, device”</w:t>
      </w:r>
    </w:p>
    <w:p w14:paraId="0F2926A7" w14:textId="77777777" w:rsidR="00CC5261" w:rsidRDefault="00CC5261" w:rsidP="00CC5261">
      <w:pPr>
        <w:jc w:val="both"/>
        <w:rPr>
          <w:b/>
          <w:bCs/>
        </w:rPr>
      </w:pPr>
      <w:r>
        <w:t>Nell’ambito della linea d’intervento la</w:t>
      </w:r>
      <w:r w:rsidRPr="004A203A">
        <w:t xml:space="preserve"> Regione Basilicata</w:t>
      </w:r>
      <w:r>
        <w:t xml:space="preserve">, investendo </w:t>
      </w:r>
      <w:r w:rsidRPr="004A203A">
        <w:t xml:space="preserve">circa </w:t>
      </w:r>
      <w:r w:rsidRPr="005C02BC">
        <w:rPr>
          <w:b/>
          <w:bCs/>
        </w:rPr>
        <w:t>2 milioni di euro</w:t>
      </w:r>
      <w:r>
        <w:rPr>
          <w:b/>
          <w:bCs/>
        </w:rPr>
        <w:t>,</w:t>
      </w:r>
      <w:r w:rsidRPr="004A203A">
        <w:t xml:space="preserve"> </w:t>
      </w:r>
      <w:r>
        <w:t xml:space="preserve">ha </w:t>
      </w:r>
      <w:r w:rsidRPr="004A203A">
        <w:t xml:space="preserve">realizzato </w:t>
      </w:r>
      <w:r w:rsidRPr="005C02BC">
        <w:rPr>
          <w:b/>
          <w:bCs/>
        </w:rPr>
        <w:t>6 COT</w:t>
      </w:r>
      <w:r>
        <w:t xml:space="preserve"> ubicate a </w:t>
      </w:r>
      <w:r w:rsidRPr="005C02BC">
        <w:rPr>
          <w:b/>
          <w:bCs/>
        </w:rPr>
        <w:t>Potenza, Lagonegro, Venosa, Marsicovetere, Matera e Policoro</w:t>
      </w:r>
      <w:r>
        <w:rPr>
          <w:b/>
          <w:bCs/>
        </w:rPr>
        <w:t>.</w:t>
      </w:r>
    </w:p>
    <w:p w14:paraId="38BC95A2" w14:textId="4D22673F" w:rsidR="00CC5261" w:rsidRDefault="00CC5261" w:rsidP="00CC5261">
      <w:pPr>
        <w:jc w:val="both"/>
      </w:pPr>
      <w:r w:rsidRPr="00350499">
        <w:t>L</w:t>
      </w:r>
      <w:r>
        <w:t>e</w:t>
      </w:r>
      <w:r w:rsidRPr="00350499">
        <w:t xml:space="preserve"> </w:t>
      </w:r>
      <w:r>
        <w:rPr>
          <w:b/>
          <w:bCs/>
        </w:rPr>
        <w:t>Centrali Operative</w:t>
      </w:r>
      <w:r w:rsidRPr="00350499">
        <w:t xml:space="preserve"> sono funzionanti e dispongono di un</w:t>
      </w:r>
      <w:r w:rsidRPr="004A203A">
        <w:t xml:space="preserve"> </w:t>
      </w:r>
      <w:r w:rsidRPr="005C02BC">
        <w:rPr>
          <w:b/>
          <w:bCs/>
        </w:rPr>
        <w:t xml:space="preserve">software </w:t>
      </w:r>
      <w:r w:rsidRPr="00350499">
        <w:t xml:space="preserve">che consente il </w:t>
      </w:r>
      <w:r w:rsidRPr="005C02BC">
        <w:rPr>
          <w:b/>
          <w:bCs/>
        </w:rPr>
        <w:t xml:space="preserve">monitoraggio </w:t>
      </w:r>
      <w:r w:rsidRPr="00350499">
        <w:t xml:space="preserve">delle transazioni provenienti dai vari setting assistenziali. </w:t>
      </w:r>
    </w:p>
    <w:p w14:paraId="35C52DD6" w14:textId="77777777" w:rsidR="00CC5261" w:rsidRDefault="00CC5261" w:rsidP="00CC5261">
      <w:pPr>
        <w:jc w:val="both"/>
        <w:rPr>
          <w:b/>
          <w:bCs/>
        </w:rPr>
      </w:pPr>
      <w:r>
        <w:rPr>
          <w:b/>
          <w:bCs/>
        </w:rPr>
        <w:t>Attraverso le COT si è realizzato il c</w:t>
      </w:r>
      <w:r w:rsidRPr="00350499">
        <w:rPr>
          <w:b/>
          <w:bCs/>
        </w:rPr>
        <w:t>oordinamento della presa in carico della persona</w:t>
      </w:r>
      <w:r>
        <w:rPr>
          <w:b/>
          <w:bCs/>
        </w:rPr>
        <w:t>, ottimizzando la rete assistenziale e monitorando la transizione tra i momenti di cura. Per i pazienti in assistenza domiciliare è possibile monitorare i percorsi integrati di cronicità.</w:t>
      </w:r>
    </w:p>
    <w:p w14:paraId="687C373E" w14:textId="77777777" w:rsidR="00CC5261" w:rsidRDefault="00CC5261" w:rsidP="00CC5261">
      <w:pPr>
        <w:jc w:val="both"/>
      </w:pPr>
      <w:r w:rsidRPr="004A203A">
        <w:t>Sono in corso di acquisizione i devices che saranno utilizzati per la telemedicina.</w:t>
      </w:r>
    </w:p>
    <w:p w14:paraId="006030D3" w14:textId="58C130C8" w:rsidR="00CC5261" w:rsidRPr="006F1145" w:rsidRDefault="00CC5261" w:rsidP="00CC5261">
      <w:pPr>
        <w:pStyle w:val="Paragrafoelenco"/>
        <w:numPr>
          <w:ilvl w:val="0"/>
          <w:numId w:val="39"/>
        </w:numPr>
        <w:jc w:val="both"/>
        <w:rPr>
          <w:b/>
        </w:rPr>
      </w:pPr>
      <w:r w:rsidRPr="006F1145">
        <w:rPr>
          <w:b/>
        </w:rPr>
        <w:t xml:space="preserve">PNRR - M6|C1.1 </w:t>
      </w:r>
      <w:r w:rsidRPr="00792AD5">
        <w:rPr>
          <w:b/>
          <w:u w:val="single"/>
        </w:rPr>
        <w:t>Case della Comunità</w:t>
      </w:r>
      <w:r w:rsidRPr="006F1145">
        <w:rPr>
          <w:b/>
        </w:rPr>
        <w:t xml:space="preserve"> e presa in carico della persona</w:t>
      </w:r>
    </w:p>
    <w:p w14:paraId="053DC654" w14:textId="1A2B7FA3" w:rsidR="00CC5261" w:rsidRDefault="00CC5261" w:rsidP="00CC5261">
      <w:pPr>
        <w:spacing w:after="0" w:line="240" w:lineRule="auto"/>
        <w:jc w:val="both"/>
      </w:pPr>
      <w:r w:rsidRPr="006F1145">
        <w:t>L’</w:t>
      </w:r>
      <w:r w:rsidR="008F08D9" w:rsidRPr="006F1145">
        <w:t>inves</w:t>
      </w:r>
      <w:r w:rsidR="008F08D9">
        <w:t>ti</w:t>
      </w:r>
      <w:r w:rsidR="008F08D9" w:rsidRPr="006F1145">
        <w:t>mento</w:t>
      </w:r>
      <w:r w:rsidRPr="006F1145">
        <w:t xml:space="preserve"> finanzia la realizzazione di </w:t>
      </w:r>
      <w:r w:rsidRPr="00B05124">
        <w:rPr>
          <w:b/>
          <w:bCs/>
        </w:rPr>
        <w:t>luoghi fisici di prossimità</w:t>
      </w:r>
      <w:r w:rsidRPr="006F1145">
        <w:t xml:space="preserve"> e facile individuazione dove la comunità può accedere per poter entrare in contatto con il sistema di assistenza sanitaria, sociosanitaria e sociale.</w:t>
      </w:r>
    </w:p>
    <w:p w14:paraId="2DEE366C" w14:textId="533CFDFF" w:rsidR="00CC5261" w:rsidRDefault="00CC5261" w:rsidP="00CC5261">
      <w:pPr>
        <w:spacing w:after="0" w:line="240" w:lineRule="auto"/>
        <w:jc w:val="both"/>
      </w:pPr>
      <w:r w:rsidRPr="006F1145">
        <w:t>L'investimento ha l'obiettivo di offrire </w:t>
      </w:r>
      <w:r w:rsidRPr="006F1145">
        <w:rPr>
          <w:b/>
          <w:bCs/>
        </w:rPr>
        <w:t>assistenza sanitaria di prossimità</w:t>
      </w:r>
      <w:r w:rsidR="008F08D9">
        <w:t xml:space="preserve"> </w:t>
      </w:r>
      <w:r w:rsidRPr="006F1145">
        <w:t xml:space="preserve">ai residenti, assicurando il servizio principalmente alla popolazione più anziana, riducendo così il </w:t>
      </w:r>
      <w:r w:rsidR="008F08D9" w:rsidRPr="006F1145">
        <w:t>numero</w:t>
      </w:r>
      <w:r w:rsidRPr="006F1145">
        <w:t xml:space="preserve"> delle ospedalizzazioni anche non urgenti. In questo modo le cure sanitarie sul territorio saranno coordinate in modo efficiente e rapido per rispondere ai bisogni dei cittadini.</w:t>
      </w:r>
    </w:p>
    <w:p w14:paraId="0B0B2086" w14:textId="77777777" w:rsidR="00877E55" w:rsidRPr="006F1145" w:rsidRDefault="00877E55" w:rsidP="00CC5261">
      <w:pPr>
        <w:spacing w:after="0" w:line="240" w:lineRule="auto"/>
        <w:jc w:val="both"/>
      </w:pPr>
    </w:p>
    <w:p w14:paraId="26AA8E09" w14:textId="77777777" w:rsidR="00CC5261" w:rsidRDefault="00CC5261" w:rsidP="00CC5261">
      <w:pPr>
        <w:spacing w:after="0" w:line="240" w:lineRule="auto"/>
        <w:jc w:val="both"/>
      </w:pPr>
      <w:r w:rsidRPr="004A203A">
        <w:t xml:space="preserve">Con circa </w:t>
      </w:r>
      <w:r w:rsidRPr="008F39B1">
        <w:rPr>
          <w:b/>
          <w:bCs/>
          <w:u w:val="single"/>
        </w:rPr>
        <w:t>25 milioni di euro</w:t>
      </w:r>
      <w:r w:rsidRPr="004A203A">
        <w:t xml:space="preserve"> di fondi </w:t>
      </w:r>
      <w:r w:rsidRPr="006F1145">
        <w:rPr>
          <w:b/>
          <w:bCs/>
        </w:rPr>
        <w:t xml:space="preserve">PNRR linea </w:t>
      </w:r>
      <w:r w:rsidRPr="00792AD5">
        <w:rPr>
          <w:bCs/>
        </w:rPr>
        <w:t>M6|C1.1 Case della Comunità</w:t>
      </w:r>
      <w:r w:rsidRPr="006F1145">
        <w:rPr>
          <w:b/>
          <w:bCs/>
        </w:rPr>
        <w:t xml:space="preserve"> e presa in carico della persona</w:t>
      </w:r>
      <w:r w:rsidRPr="004A203A">
        <w:t xml:space="preserve"> ed altri </w:t>
      </w:r>
      <w:r w:rsidRPr="008F39B1">
        <w:rPr>
          <w:b/>
          <w:bCs/>
          <w:u w:val="single"/>
        </w:rPr>
        <w:t>3,7 di fondi aggiuntivi</w:t>
      </w:r>
      <w:r w:rsidRPr="004A203A">
        <w:t xml:space="preserve"> sono in corso di realizzazione </w:t>
      </w:r>
      <w:r w:rsidRPr="006F1145">
        <w:rPr>
          <w:b/>
          <w:bCs/>
        </w:rPr>
        <w:t>19 Case della Comunità</w:t>
      </w:r>
      <w:r>
        <w:t>:</w:t>
      </w:r>
    </w:p>
    <w:p w14:paraId="7817B6C9" w14:textId="77777777" w:rsidR="00CC5261" w:rsidRDefault="00CC5261" w:rsidP="00CC5261">
      <w:pPr>
        <w:pStyle w:val="Paragrafoelenco"/>
        <w:numPr>
          <w:ilvl w:val="0"/>
          <w:numId w:val="40"/>
        </w:numPr>
        <w:spacing w:after="0" w:line="240" w:lineRule="auto"/>
        <w:jc w:val="both"/>
      </w:pPr>
      <w:r w:rsidRPr="006F1145">
        <w:rPr>
          <w:b/>
          <w:bCs/>
        </w:rPr>
        <w:t>13</w:t>
      </w:r>
      <w:r w:rsidRPr="004A203A">
        <w:t xml:space="preserve"> in provincia di Potenza</w:t>
      </w:r>
    </w:p>
    <w:p w14:paraId="40CC3877" w14:textId="77777777" w:rsidR="00CC5261" w:rsidRDefault="00CC5261" w:rsidP="00CC5261">
      <w:pPr>
        <w:pStyle w:val="Paragrafoelenco"/>
        <w:numPr>
          <w:ilvl w:val="0"/>
          <w:numId w:val="40"/>
        </w:numPr>
        <w:spacing w:after="0" w:line="240" w:lineRule="auto"/>
        <w:jc w:val="both"/>
      </w:pPr>
      <w:r w:rsidRPr="006F1145">
        <w:rPr>
          <w:b/>
          <w:bCs/>
        </w:rPr>
        <w:t>6</w:t>
      </w:r>
      <w:r w:rsidRPr="004A203A">
        <w:t xml:space="preserve"> in provincia di Matera</w:t>
      </w:r>
    </w:p>
    <w:p w14:paraId="759EFDA0" w14:textId="77777777" w:rsidR="00CC5261" w:rsidRDefault="00CC5261" w:rsidP="00CC5261">
      <w:pPr>
        <w:pStyle w:val="Paragrafoelenco"/>
        <w:spacing w:after="0" w:line="240" w:lineRule="auto"/>
        <w:ind w:left="760"/>
        <w:jc w:val="both"/>
      </w:pPr>
    </w:p>
    <w:p w14:paraId="6F74DF81" w14:textId="77777777" w:rsidR="00CC5261" w:rsidRPr="006F1145" w:rsidRDefault="00CC5261" w:rsidP="00CC5261">
      <w:pPr>
        <w:pStyle w:val="Paragrafoelenco"/>
        <w:numPr>
          <w:ilvl w:val="0"/>
          <w:numId w:val="39"/>
        </w:numPr>
        <w:jc w:val="both"/>
        <w:rPr>
          <w:b/>
        </w:rPr>
      </w:pPr>
      <w:r w:rsidRPr="006F1145">
        <w:rPr>
          <w:b/>
        </w:rPr>
        <w:t>PNRR - Linea M6|C1. 1.3 Rafforzamento dell’assistenza sanitaria intermedia e delle sue strutture</w:t>
      </w:r>
      <w:r>
        <w:rPr>
          <w:b/>
        </w:rPr>
        <w:t xml:space="preserve"> -</w:t>
      </w:r>
      <w:r w:rsidRPr="00792AD5">
        <w:rPr>
          <w:b/>
          <w:u w:val="single"/>
        </w:rPr>
        <w:t>Ospedali di Comunità</w:t>
      </w:r>
    </w:p>
    <w:p w14:paraId="71AF45C8" w14:textId="77777777" w:rsidR="00CC5261" w:rsidRPr="004A203A" w:rsidRDefault="00CC5261" w:rsidP="00CC5261">
      <w:pPr>
        <w:pStyle w:val="Paragrafoelenco"/>
        <w:spacing w:after="0" w:line="240" w:lineRule="auto"/>
        <w:ind w:left="760"/>
        <w:jc w:val="both"/>
      </w:pPr>
    </w:p>
    <w:p w14:paraId="6C14F57A" w14:textId="0950E1E0" w:rsidR="00CC5261" w:rsidRDefault="00CC5261" w:rsidP="00CC5261">
      <w:pPr>
        <w:spacing w:after="0" w:line="240" w:lineRule="auto"/>
        <w:jc w:val="both"/>
      </w:pPr>
      <w:r w:rsidRPr="004A203A">
        <w:t xml:space="preserve">Infine, con circa </w:t>
      </w:r>
      <w:r w:rsidRPr="008F39B1">
        <w:rPr>
          <w:b/>
          <w:bCs/>
          <w:u w:val="single"/>
        </w:rPr>
        <w:t>11 milioni di euro</w:t>
      </w:r>
      <w:r w:rsidRPr="004A203A">
        <w:t xml:space="preserve"> di fondi PNRR si sta procedendo alla realizzazione di </w:t>
      </w:r>
      <w:r w:rsidR="00792AD5">
        <w:rPr>
          <w:b/>
          <w:bCs/>
        </w:rPr>
        <w:t>5 ospedali di comunità</w:t>
      </w:r>
      <w:r>
        <w:t>:</w:t>
      </w:r>
    </w:p>
    <w:p w14:paraId="7B1A31D8" w14:textId="7457DB0C" w:rsidR="00CC5261" w:rsidRDefault="00CE17EE" w:rsidP="00CC5261">
      <w:pPr>
        <w:pStyle w:val="Paragrafoelenco"/>
        <w:numPr>
          <w:ilvl w:val="0"/>
          <w:numId w:val="41"/>
        </w:numPr>
        <w:spacing w:after="0" w:line="240" w:lineRule="auto"/>
        <w:jc w:val="both"/>
      </w:pPr>
      <w:r>
        <w:t>3</w:t>
      </w:r>
      <w:r w:rsidR="00CC5261" w:rsidRPr="004A203A">
        <w:t xml:space="preserve"> in provincia di Potenza</w:t>
      </w:r>
      <w:r w:rsidR="00CC5261">
        <w:t>;</w:t>
      </w:r>
    </w:p>
    <w:p w14:paraId="36F7144B" w14:textId="2C627E8E" w:rsidR="00CC5261" w:rsidRDefault="00CC5261" w:rsidP="00CC5261">
      <w:pPr>
        <w:pStyle w:val="Paragrafoelenco"/>
        <w:numPr>
          <w:ilvl w:val="0"/>
          <w:numId w:val="41"/>
        </w:numPr>
        <w:spacing w:after="0" w:line="240" w:lineRule="auto"/>
        <w:jc w:val="both"/>
      </w:pPr>
      <w:r w:rsidRPr="004A203A">
        <w:t>2 in provincia di Matera.</w:t>
      </w:r>
    </w:p>
    <w:p w14:paraId="599DD48B" w14:textId="29AEBAD9" w:rsidR="00877E55" w:rsidRDefault="00877E55" w:rsidP="00C76403">
      <w:pPr>
        <w:pStyle w:val="Paragrafoelenco"/>
        <w:spacing w:after="0" w:line="240" w:lineRule="auto"/>
        <w:jc w:val="both"/>
      </w:pPr>
    </w:p>
    <w:p w14:paraId="2F42EF19" w14:textId="4924C72E" w:rsidR="00C76403" w:rsidRPr="007F7EEE" w:rsidRDefault="00C76403" w:rsidP="00C76403">
      <w:pPr>
        <w:pStyle w:val="Paragrafoelenco"/>
        <w:spacing w:after="0" w:line="240" w:lineRule="auto"/>
        <w:ind w:left="0"/>
        <w:jc w:val="both"/>
        <w:rPr>
          <w:color w:val="FF0000"/>
        </w:rPr>
      </w:pPr>
      <w:r w:rsidRPr="007F7EEE">
        <w:rPr>
          <w:color w:val="FF0000"/>
        </w:rPr>
        <w:t>Nella tabella che segue sono riportate le infrastrutture della rete di prossimità così come distribuite sul territorio regionale.</w:t>
      </w:r>
    </w:p>
    <w:p w14:paraId="1C65E2C6" w14:textId="77777777" w:rsidR="00C76403" w:rsidRDefault="00C76403" w:rsidP="00C76403">
      <w:pPr>
        <w:pStyle w:val="Paragrafoelenco"/>
        <w:spacing w:after="0" w:line="240" w:lineRule="auto"/>
        <w:jc w:val="both"/>
      </w:pPr>
    </w:p>
    <w:p w14:paraId="3FA74012" w14:textId="286FA7CE" w:rsidR="00877E55" w:rsidRDefault="00884672" w:rsidP="00877E55">
      <w:pPr>
        <w:spacing w:after="0" w:line="240" w:lineRule="auto"/>
        <w:jc w:val="center"/>
      </w:pPr>
      <w:r>
        <w:lastRenderedPageBreak/>
        <w:pict w14:anchorId="0CDCA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pt;height:288.85pt;mso-position-vertical:absolute" filled="t">
            <v:fill color2="fill darken(118)" recolor="t" rotate="t" method="linear sigma" type="gradient"/>
            <v:imagedata r:id="rId9" o:title="Immagine WhatsApp 2025-02-17 ore 15" croptop="303f" cropleft="-209f"/>
          </v:shape>
        </w:pict>
      </w:r>
    </w:p>
    <w:p w14:paraId="5E854F85" w14:textId="2FFDF612" w:rsidR="009F5D24" w:rsidRDefault="009F5D24" w:rsidP="00877E55">
      <w:pPr>
        <w:spacing w:after="0" w:line="240" w:lineRule="auto"/>
        <w:jc w:val="center"/>
      </w:pPr>
    </w:p>
    <w:p w14:paraId="62CD8661" w14:textId="77777777" w:rsidR="009F5D24" w:rsidRPr="0084645F" w:rsidRDefault="009F5D24" w:rsidP="009F5D24">
      <w:pPr>
        <w:jc w:val="both"/>
        <w:rPr>
          <w:b/>
          <w:bCs/>
          <w:u w:val="single"/>
        </w:rPr>
      </w:pPr>
      <w:r w:rsidRPr="0084645F">
        <w:rPr>
          <w:b/>
          <w:bCs/>
          <w:u w:val="single"/>
        </w:rPr>
        <w:t>PNRR M6C1I1.2.1 – Assistenza domiciliare</w:t>
      </w:r>
    </w:p>
    <w:p w14:paraId="01A92576" w14:textId="7E814E70" w:rsidR="009F5D24" w:rsidRPr="0084645F" w:rsidRDefault="002C5A71" w:rsidP="009F5D24">
      <w:pPr>
        <w:jc w:val="both"/>
        <w:rPr>
          <w:rFonts w:eastAsia="Calibri" w:cs="Times New Roman"/>
          <w:bCs/>
          <w:kern w:val="0"/>
          <w14:ligatures w14:val="none"/>
        </w:rPr>
      </w:pPr>
      <w:hyperlink r:id="rId10" w:tgtFrame="_blank" w:history="1">
        <w:r w:rsidR="008F08D9" w:rsidRPr="0084645F">
          <w:rPr>
            <w:rFonts w:eastAsia="Calibri" w:cs="Times New Roman"/>
            <w:bCs/>
            <w:kern w:val="0"/>
            <w14:ligatures w14:val="none"/>
          </w:rPr>
          <w:t>Il decreto</w:t>
        </w:r>
      </w:hyperlink>
      <w:r w:rsidR="008F08D9">
        <w:t xml:space="preserve"> </w:t>
      </w:r>
      <w:hyperlink r:id="rId11" w:tgtFrame="_blank" w:history="1">
        <w:r w:rsidR="009F5D24" w:rsidRPr="0084645F">
          <w:rPr>
            <w:rFonts w:eastAsia="Calibri" w:cs="Times New Roman"/>
            <w:bCs/>
            <w:kern w:val="0"/>
            <w14:ligatures w14:val="none"/>
          </w:rPr>
          <w:t>del MEF del 6.08.2021</w:t>
        </w:r>
      </w:hyperlink>
      <w:r w:rsidR="009F5D24" w:rsidRPr="0084645F">
        <w:rPr>
          <w:rFonts w:eastAsia="Calibri" w:cs="Times New Roman"/>
          <w:bCs/>
          <w:kern w:val="0"/>
          <w14:ligatures w14:val="none"/>
        </w:rPr>
        <w:t>, recante “</w:t>
      </w:r>
      <w:r w:rsidR="009F5D24" w:rsidRPr="0084645F">
        <w:rPr>
          <w:rFonts w:eastAsia="Calibri" w:cs="Times New Roman"/>
          <w:bCs/>
          <w:i/>
          <w:iCs/>
          <w:kern w:val="0"/>
          <w14:ligatures w14:val="none"/>
        </w:rPr>
        <w:t>Assegnazione delle risorse finanziarie previste per l’attuazione degli interventi del Piano Nazionale di Ripresa e Resilienza (PNRR) e ripartizione di traguardi e obiettivi per scadenze semestrali di rendicontazione</w:t>
      </w:r>
      <w:r w:rsidR="009F5D24" w:rsidRPr="0084645F">
        <w:rPr>
          <w:rFonts w:eastAsia="Calibri" w:cs="Times New Roman"/>
          <w:bCs/>
          <w:kern w:val="0"/>
          <w14:ligatures w14:val="none"/>
        </w:rPr>
        <w:t>” ed</w:t>
      </w:r>
      <w:r w:rsidR="008F08D9">
        <w:t xml:space="preserve"> il </w:t>
      </w:r>
      <w:hyperlink r:id="rId12" w:tgtFrame="_blank" w:history="1">
        <w:r w:rsidR="009F5D24" w:rsidRPr="0084645F">
          <w:rPr>
            <w:rFonts w:eastAsia="Calibri" w:cs="Times New Roman"/>
            <w:bCs/>
            <w:kern w:val="0"/>
            <w14:ligatures w14:val="none"/>
          </w:rPr>
          <w:t>decreto</w:t>
        </w:r>
      </w:hyperlink>
      <w:hyperlink r:id="rId13" w:tgtFrame="_blank" w:history="1">
        <w:r w:rsidR="008F08D9">
          <w:rPr>
            <w:rFonts w:eastAsia="Calibri" w:cs="Times New Roman"/>
            <w:bCs/>
            <w:kern w:val="0"/>
            <w14:ligatures w14:val="none"/>
          </w:rPr>
          <w:t xml:space="preserve"> </w:t>
        </w:r>
        <w:r w:rsidR="009F5D24" w:rsidRPr="0084645F">
          <w:rPr>
            <w:rFonts w:eastAsia="Calibri" w:cs="Times New Roman"/>
            <w:bCs/>
            <w:kern w:val="0"/>
            <w14:ligatures w14:val="none"/>
          </w:rPr>
          <w:t>del MEF del 23.11.2021</w:t>
        </w:r>
      </w:hyperlink>
      <w:r w:rsidR="009F5D24" w:rsidRPr="0084645F">
        <w:rPr>
          <w:rFonts w:eastAsia="Calibri" w:cs="Times New Roman"/>
          <w:bCs/>
          <w:kern w:val="0"/>
          <w14:ligatures w14:val="none"/>
        </w:rPr>
        <w:t xml:space="preserve">, recante le modifiche alla Tabella A del sopracitato decreto, assegnano alle singole amministrazioni le risorse finanziare per l’attuazione degli interventi di cui sono titolari. </w:t>
      </w:r>
    </w:p>
    <w:p w14:paraId="510EDAC3" w14:textId="77777777" w:rsidR="009F5D24" w:rsidRPr="0084645F" w:rsidRDefault="009F5D24" w:rsidP="009F5D24">
      <w:pPr>
        <w:jc w:val="both"/>
        <w:rPr>
          <w:rFonts w:eastAsia="SimSun" w:cs="Times New Roman"/>
          <w:b/>
          <w:bCs/>
          <w:spacing w:val="5"/>
          <w:kern w:val="1"/>
          <w14:ligatures w14:val="none"/>
        </w:rPr>
      </w:pPr>
      <w:r w:rsidRPr="0084645F">
        <w:rPr>
          <w:rFonts w:eastAsia="SimSun" w:cs="Times New Roman"/>
          <w:b/>
          <w:bCs/>
          <w:spacing w:val="5"/>
          <w:kern w:val="1"/>
          <w14:ligatures w14:val="none"/>
        </w:rPr>
        <w:t>In particolare, la Regione Basilicata è il soggetto attuatore della Missione 6 Salute COMPONENTE: C1 - Reti di prossimità, strutture e telemedicina per l’assistenza sanitaria territoriale, INVESTIMENTO: M6C1I1.2 - Casa come primo luogo di cura e telemedicina e SUB-INVESTIMENTO M6C1I1.2.1 – Assistenza domiciliare.</w:t>
      </w:r>
    </w:p>
    <w:p w14:paraId="41EB3BD7" w14:textId="77777777" w:rsidR="009F5D24" w:rsidRPr="0084645F" w:rsidRDefault="009F5D24" w:rsidP="009F5D24">
      <w:pPr>
        <w:jc w:val="both"/>
        <w:rPr>
          <w:rFonts w:eastAsia="Calibri" w:cs="Times New Roman"/>
          <w:bCs/>
          <w:kern w:val="0"/>
          <w14:ligatures w14:val="none"/>
        </w:rPr>
      </w:pPr>
      <w:r w:rsidRPr="0084645F">
        <w:rPr>
          <w:rFonts w:eastAsia="Calibri" w:cs="Times New Roman"/>
          <w:bCs/>
          <w:kern w:val="0"/>
          <w14:ligatures w14:val="none"/>
        </w:rPr>
        <w:t xml:space="preserve">Il DM 23.01.2023 concernente la ripartizione delle risorse relative all'investimento M6C1 - 1.2.1. «Casa come primo luogo di cura (ADI)» del PNRR ha assegnato alla Regione Basilicata le ripartite come segue per gli anni 2022-2025: </w:t>
      </w:r>
    </w:p>
    <w:tbl>
      <w:tblPr>
        <w:tblStyle w:val="Grigliatabella3"/>
        <w:tblW w:w="0" w:type="auto"/>
        <w:tblLook w:val="04A0" w:firstRow="1" w:lastRow="0" w:firstColumn="1" w:lastColumn="0" w:noHBand="0" w:noVBand="1"/>
      </w:tblPr>
      <w:tblGrid>
        <w:gridCol w:w="1199"/>
        <w:gridCol w:w="1077"/>
        <w:gridCol w:w="1263"/>
        <w:gridCol w:w="1133"/>
        <w:gridCol w:w="1198"/>
        <w:gridCol w:w="1280"/>
        <w:gridCol w:w="1198"/>
        <w:gridCol w:w="1280"/>
      </w:tblGrid>
      <w:tr w:rsidR="009F5D24" w:rsidRPr="0084645F" w14:paraId="1DDC3297" w14:textId="77777777" w:rsidTr="008B7EB8">
        <w:tc>
          <w:tcPr>
            <w:tcW w:w="2276" w:type="dxa"/>
            <w:gridSpan w:val="2"/>
            <w:tcBorders>
              <w:top w:val="single" w:sz="4" w:space="0" w:color="000000"/>
              <w:left w:val="single" w:sz="4" w:space="0" w:color="000000"/>
              <w:bottom w:val="single" w:sz="4" w:space="0" w:color="000000"/>
              <w:right w:val="single" w:sz="4" w:space="0" w:color="000000"/>
            </w:tcBorders>
            <w:hideMark/>
          </w:tcPr>
          <w:p w14:paraId="7863739B" w14:textId="77777777" w:rsidR="009F5D24" w:rsidRPr="0084645F" w:rsidRDefault="009F5D24" w:rsidP="008B7EB8">
            <w:pPr>
              <w:ind w:left="360"/>
              <w:jc w:val="both"/>
              <w:rPr>
                <w:rFonts w:eastAsia="Calibri" w:cs="Times New Roman"/>
                <w:b/>
                <w:bCs/>
              </w:rPr>
            </w:pPr>
            <w:r w:rsidRPr="0084645F">
              <w:rPr>
                <w:rFonts w:eastAsia="Calibri" w:cs="Times New Roman"/>
                <w:b/>
                <w:bCs/>
              </w:rPr>
              <w:t>Anno 2022</w:t>
            </w:r>
          </w:p>
        </w:tc>
        <w:tc>
          <w:tcPr>
            <w:tcW w:w="2396" w:type="dxa"/>
            <w:gridSpan w:val="2"/>
            <w:tcBorders>
              <w:top w:val="single" w:sz="4" w:space="0" w:color="000000"/>
              <w:left w:val="single" w:sz="4" w:space="0" w:color="000000"/>
              <w:bottom w:val="single" w:sz="4" w:space="0" w:color="000000"/>
              <w:right w:val="single" w:sz="4" w:space="0" w:color="000000"/>
            </w:tcBorders>
            <w:hideMark/>
          </w:tcPr>
          <w:p w14:paraId="1A56EC9C" w14:textId="77777777" w:rsidR="009F5D24" w:rsidRPr="0084645F" w:rsidRDefault="009F5D24" w:rsidP="008B7EB8">
            <w:pPr>
              <w:ind w:left="360"/>
              <w:jc w:val="both"/>
              <w:rPr>
                <w:rFonts w:eastAsia="Calibri" w:cs="Times New Roman"/>
                <w:b/>
                <w:bCs/>
              </w:rPr>
            </w:pPr>
            <w:r w:rsidRPr="0084645F">
              <w:rPr>
                <w:rFonts w:eastAsia="Calibri" w:cs="Times New Roman"/>
                <w:b/>
                <w:bCs/>
              </w:rPr>
              <w:t>Anno 2023</w:t>
            </w:r>
          </w:p>
        </w:tc>
        <w:tc>
          <w:tcPr>
            <w:tcW w:w="2478" w:type="dxa"/>
            <w:gridSpan w:val="2"/>
            <w:tcBorders>
              <w:top w:val="single" w:sz="4" w:space="0" w:color="000000"/>
              <w:left w:val="single" w:sz="4" w:space="0" w:color="000000"/>
              <w:bottom w:val="single" w:sz="4" w:space="0" w:color="000000"/>
              <w:right w:val="single" w:sz="4" w:space="0" w:color="000000"/>
            </w:tcBorders>
            <w:hideMark/>
          </w:tcPr>
          <w:p w14:paraId="13BFD459" w14:textId="77777777" w:rsidR="009F5D24" w:rsidRPr="0084645F" w:rsidRDefault="009F5D24" w:rsidP="008B7EB8">
            <w:pPr>
              <w:ind w:left="360"/>
              <w:jc w:val="both"/>
              <w:rPr>
                <w:rFonts w:eastAsia="Calibri" w:cs="Times New Roman"/>
                <w:b/>
                <w:bCs/>
              </w:rPr>
            </w:pPr>
            <w:r w:rsidRPr="0084645F">
              <w:rPr>
                <w:rFonts w:eastAsia="Calibri" w:cs="Times New Roman"/>
                <w:b/>
                <w:bCs/>
              </w:rPr>
              <w:t>Anno 2024</w:t>
            </w:r>
          </w:p>
        </w:tc>
        <w:tc>
          <w:tcPr>
            <w:tcW w:w="2478" w:type="dxa"/>
            <w:gridSpan w:val="2"/>
            <w:tcBorders>
              <w:top w:val="single" w:sz="4" w:space="0" w:color="000000"/>
              <w:left w:val="single" w:sz="4" w:space="0" w:color="000000"/>
              <w:bottom w:val="single" w:sz="4" w:space="0" w:color="000000"/>
              <w:right w:val="single" w:sz="4" w:space="0" w:color="000000"/>
            </w:tcBorders>
            <w:hideMark/>
          </w:tcPr>
          <w:p w14:paraId="41420C3C" w14:textId="77777777" w:rsidR="009F5D24" w:rsidRPr="0084645F" w:rsidRDefault="009F5D24" w:rsidP="008B7EB8">
            <w:pPr>
              <w:ind w:left="360"/>
              <w:jc w:val="both"/>
              <w:rPr>
                <w:rFonts w:eastAsia="Calibri" w:cs="Times New Roman"/>
                <w:b/>
                <w:bCs/>
              </w:rPr>
            </w:pPr>
            <w:r w:rsidRPr="0084645F">
              <w:rPr>
                <w:rFonts w:eastAsia="Calibri" w:cs="Times New Roman"/>
                <w:b/>
                <w:bCs/>
              </w:rPr>
              <w:t>Anno 2025</w:t>
            </w:r>
          </w:p>
        </w:tc>
      </w:tr>
      <w:tr w:rsidR="009F5D24" w:rsidRPr="0084645F" w14:paraId="4F2BDBDA" w14:textId="77777777" w:rsidTr="008B7EB8">
        <w:trPr>
          <w:trHeight w:val="320"/>
        </w:trPr>
        <w:tc>
          <w:tcPr>
            <w:tcW w:w="1199" w:type="dxa"/>
            <w:tcBorders>
              <w:top w:val="single" w:sz="4" w:space="0" w:color="000000"/>
              <w:left w:val="single" w:sz="4" w:space="0" w:color="000000"/>
              <w:bottom w:val="single" w:sz="4" w:space="0" w:color="000000"/>
              <w:right w:val="single" w:sz="4" w:space="0" w:color="000000"/>
            </w:tcBorders>
            <w:hideMark/>
          </w:tcPr>
          <w:p w14:paraId="238D87B3" w14:textId="77777777" w:rsidR="009F5D24" w:rsidRPr="0084645F" w:rsidRDefault="009F5D24" w:rsidP="008B7EB8">
            <w:pPr>
              <w:ind w:left="-115"/>
              <w:jc w:val="both"/>
              <w:rPr>
                <w:rFonts w:eastAsia="Calibri" w:cs="Times New Roman"/>
                <w:b/>
                <w:bCs/>
                <w:sz w:val="18"/>
                <w:szCs w:val="18"/>
              </w:rPr>
            </w:pPr>
            <w:r w:rsidRPr="0084645F">
              <w:rPr>
                <w:rFonts w:eastAsia="Calibri" w:cs="Times New Roman"/>
                <w:b/>
                <w:bCs/>
                <w:sz w:val="18"/>
                <w:szCs w:val="18"/>
              </w:rPr>
              <w:t>DL 34/2020</w:t>
            </w:r>
          </w:p>
        </w:tc>
        <w:tc>
          <w:tcPr>
            <w:tcW w:w="1077" w:type="dxa"/>
            <w:tcBorders>
              <w:top w:val="single" w:sz="4" w:space="0" w:color="000000"/>
              <w:left w:val="single" w:sz="4" w:space="0" w:color="000000"/>
              <w:bottom w:val="single" w:sz="4" w:space="0" w:color="000000"/>
              <w:right w:val="single" w:sz="4" w:space="0" w:color="000000"/>
            </w:tcBorders>
            <w:hideMark/>
          </w:tcPr>
          <w:p w14:paraId="079BA464" w14:textId="77777777" w:rsidR="009F5D24" w:rsidRPr="0084645F" w:rsidRDefault="009F5D24" w:rsidP="008B7EB8">
            <w:pPr>
              <w:rPr>
                <w:rFonts w:eastAsia="Calibri" w:cs="Times New Roman"/>
                <w:b/>
                <w:bCs/>
                <w:sz w:val="18"/>
                <w:szCs w:val="18"/>
              </w:rPr>
            </w:pPr>
            <w:r w:rsidRPr="0084645F">
              <w:rPr>
                <w:rFonts w:eastAsia="Calibri" w:cs="Times New Roman"/>
                <w:b/>
                <w:bCs/>
                <w:sz w:val="18"/>
                <w:szCs w:val="18"/>
              </w:rPr>
              <w:t>PNRR</w:t>
            </w:r>
          </w:p>
        </w:tc>
        <w:tc>
          <w:tcPr>
            <w:tcW w:w="1263" w:type="dxa"/>
            <w:tcBorders>
              <w:top w:val="single" w:sz="4" w:space="0" w:color="000000"/>
              <w:left w:val="single" w:sz="4" w:space="0" w:color="000000"/>
              <w:bottom w:val="single" w:sz="4" w:space="0" w:color="000000"/>
              <w:right w:val="single" w:sz="4" w:space="0" w:color="000000"/>
            </w:tcBorders>
            <w:hideMark/>
          </w:tcPr>
          <w:p w14:paraId="78FE32F1" w14:textId="77777777" w:rsidR="009F5D24" w:rsidRPr="0084645F" w:rsidRDefault="009F5D24" w:rsidP="008B7EB8">
            <w:pPr>
              <w:ind w:left="-117"/>
              <w:rPr>
                <w:rFonts w:eastAsia="Calibri" w:cs="Times New Roman"/>
                <w:b/>
                <w:bCs/>
                <w:sz w:val="18"/>
                <w:szCs w:val="18"/>
              </w:rPr>
            </w:pPr>
            <w:r w:rsidRPr="0084645F">
              <w:rPr>
                <w:rFonts w:eastAsia="Calibri" w:cs="Times New Roman"/>
                <w:b/>
                <w:bCs/>
                <w:sz w:val="18"/>
                <w:szCs w:val="18"/>
              </w:rPr>
              <w:t>DL 34/2020</w:t>
            </w:r>
          </w:p>
        </w:tc>
        <w:tc>
          <w:tcPr>
            <w:tcW w:w="1133" w:type="dxa"/>
            <w:tcBorders>
              <w:top w:val="single" w:sz="4" w:space="0" w:color="000000"/>
              <w:left w:val="single" w:sz="4" w:space="0" w:color="000000"/>
              <w:bottom w:val="single" w:sz="4" w:space="0" w:color="000000"/>
              <w:right w:val="single" w:sz="4" w:space="0" w:color="000000"/>
            </w:tcBorders>
            <w:hideMark/>
          </w:tcPr>
          <w:p w14:paraId="4AF5449B" w14:textId="77777777" w:rsidR="009F5D24" w:rsidRPr="0084645F" w:rsidRDefault="009F5D24" w:rsidP="008B7EB8">
            <w:pPr>
              <w:ind w:left="-40"/>
              <w:rPr>
                <w:rFonts w:eastAsia="Calibri" w:cs="Times New Roman"/>
                <w:b/>
                <w:bCs/>
                <w:sz w:val="18"/>
                <w:szCs w:val="18"/>
              </w:rPr>
            </w:pPr>
            <w:r w:rsidRPr="0084645F">
              <w:rPr>
                <w:rFonts w:eastAsia="Calibri" w:cs="Times New Roman"/>
                <w:b/>
                <w:bCs/>
                <w:sz w:val="18"/>
                <w:szCs w:val="18"/>
              </w:rPr>
              <w:t>PNRR</w:t>
            </w:r>
          </w:p>
        </w:tc>
        <w:tc>
          <w:tcPr>
            <w:tcW w:w="1198" w:type="dxa"/>
            <w:tcBorders>
              <w:top w:val="single" w:sz="4" w:space="0" w:color="000000"/>
              <w:left w:val="single" w:sz="4" w:space="0" w:color="000000"/>
              <w:bottom w:val="single" w:sz="4" w:space="0" w:color="000000"/>
              <w:right w:val="single" w:sz="4" w:space="0" w:color="000000"/>
            </w:tcBorders>
            <w:hideMark/>
          </w:tcPr>
          <w:p w14:paraId="3E55CE4B" w14:textId="77777777" w:rsidR="009F5D24" w:rsidRPr="0084645F" w:rsidRDefault="009F5D24" w:rsidP="008B7EB8">
            <w:pPr>
              <w:ind w:left="-104"/>
              <w:rPr>
                <w:rFonts w:eastAsia="Calibri" w:cs="Times New Roman"/>
                <w:b/>
                <w:bCs/>
                <w:sz w:val="18"/>
                <w:szCs w:val="18"/>
              </w:rPr>
            </w:pPr>
            <w:r w:rsidRPr="0084645F">
              <w:rPr>
                <w:rFonts w:eastAsia="Calibri" w:cs="Times New Roman"/>
                <w:b/>
                <w:bCs/>
                <w:sz w:val="18"/>
                <w:szCs w:val="18"/>
              </w:rPr>
              <w:t>DL 34/2020</w:t>
            </w:r>
          </w:p>
        </w:tc>
        <w:tc>
          <w:tcPr>
            <w:tcW w:w="1280" w:type="dxa"/>
            <w:tcBorders>
              <w:top w:val="single" w:sz="4" w:space="0" w:color="000000"/>
              <w:left w:val="single" w:sz="4" w:space="0" w:color="000000"/>
              <w:bottom w:val="single" w:sz="4" w:space="0" w:color="000000"/>
              <w:right w:val="single" w:sz="4" w:space="0" w:color="000000"/>
            </w:tcBorders>
            <w:hideMark/>
          </w:tcPr>
          <w:p w14:paraId="7CD7E0DE" w14:textId="77777777" w:rsidR="009F5D24" w:rsidRPr="0084645F" w:rsidRDefault="009F5D24" w:rsidP="008B7EB8">
            <w:pPr>
              <w:ind w:left="360"/>
              <w:rPr>
                <w:rFonts w:eastAsia="Calibri" w:cs="Times New Roman"/>
                <w:b/>
                <w:bCs/>
                <w:sz w:val="18"/>
                <w:szCs w:val="18"/>
              </w:rPr>
            </w:pPr>
            <w:r w:rsidRPr="0084645F">
              <w:rPr>
                <w:rFonts w:eastAsia="Calibri" w:cs="Times New Roman"/>
                <w:b/>
                <w:bCs/>
                <w:sz w:val="18"/>
                <w:szCs w:val="18"/>
              </w:rPr>
              <w:t>PNRR</w:t>
            </w:r>
          </w:p>
        </w:tc>
        <w:tc>
          <w:tcPr>
            <w:tcW w:w="1198" w:type="dxa"/>
            <w:tcBorders>
              <w:top w:val="single" w:sz="4" w:space="0" w:color="000000"/>
              <w:left w:val="single" w:sz="4" w:space="0" w:color="000000"/>
              <w:bottom w:val="single" w:sz="4" w:space="0" w:color="000000"/>
              <w:right w:val="single" w:sz="4" w:space="0" w:color="000000"/>
            </w:tcBorders>
            <w:hideMark/>
          </w:tcPr>
          <w:p w14:paraId="00DAABC0" w14:textId="77777777" w:rsidR="009F5D24" w:rsidRPr="0084645F" w:rsidRDefault="009F5D24" w:rsidP="008B7EB8">
            <w:pPr>
              <w:ind w:left="-28"/>
              <w:rPr>
                <w:rFonts w:eastAsia="Calibri" w:cs="Times New Roman"/>
                <w:b/>
                <w:bCs/>
                <w:sz w:val="18"/>
                <w:szCs w:val="18"/>
              </w:rPr>
            </w:pPr>
            <w:r w:rsidRPr="0084645F">
              <w:rPr>
                <w:rFonts w:eastAsia="Calibri" w:cs="Times New Roman"/>
                <w:b/>
                <w:bCs/>
                <w:sz w:val="18"/>
                <w:szCs w:val="18"/>
              </w:rPr>
              <w:t>DL 34/2020</w:t>
            </w:r>
          </w:p>
        </w:tc>
        <w:tc>
          <w:tcPr>
            <w:tcW w:w="1280" w:type="dxa"/>
            <w:tcBorders>
              <w:top w:val="single" w:sz="4" w:space="0" w:color="000000"/>
              <w:left w:val="single" w:sz="4" w:space="0" w:color="000000"/>
              <w:bottom w:val="single" w:sz="4" w:space="0" w:color="000000"/>
              <w:right w:val="single" w:sz="4" w:space="0" w:color="000000"/>
            </w:tcBorders>
            <w:hideMark/>
          </w:tcPr>
          <w:p w14:paraId="5FFB850B" w14:textId="77777777" w:rsidR="009F5D24" w:rsidRPr="0084645F" w:rsidRDefault="009F5D24" w:rsidP="008B7EB8">
            <w:pPr>
              <w:ind w:left="360"/>
              <w:rPr>
                <w:rFonts w:eastAsia="Calibri" w:cs="Times New Roman"/>
                <w:b/>
                <w:bCs/>
                <w:sz w:val="18"/>
                <w:szCs w:val="18"/>
              </w:rPr>
            </w:pPr>
            <w:r w:rsidRPr="0084645F">
              <w:rPr>
                <w:rFonts w:eastAsia="Calibri" w:cs="Times New Roman"/>
                <w:b/>
                <w:bCs/>
                <w:sz w:val="18"/>
                <w:szCs w:val="18"/>
              </w:rPr>
              <w:t>PNRR</w:t>
            </w:r>
          </w:p>
        </w:tc>
      </w:tr>
      <w:tr w:rsidR="009F5D24" w:rsidRPr="0084645F" w14:paraId="40F01E1F" w14:textId="77777777" w:rsidTr="008B7EB8">
        <w:tc>
          <w:tcPr>
            <w:tcW w:w="1199" w:type="dxa"/>
            <w:tcBorders>
              <w:top w:val="single" w:sz="4" w:space="0" w:color="000000"/>
              <w:left w:val="single" w:sz="4" w:space="0" w:color="000000"/>
              <w:bottom w:val="single" w:sz="4" w:space="0" w:color="000000"/>
              <w:right w:val="single" w:sz="4" w:space="0" w:color="000000"/>
            </w:tcBorders>
            <w:hideMark/>
          </w:tcPr>
          <w:p w14:paraId="609E0BDE"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3.450.132</w:t>
            </w:r>
          </w:p>
        </w:tc>
        <w:tc>
          <w:tcPr>
            <w:tcW w:w="1077" w:type="dxa"/>
            <w:tcBorders>
              <w:top w:val="single" w:sz="4" w:space="0" w:color="000000"/>
              <w:left w:val="single" w:sz="4" w:space="0" w:color="000000"/>
              <w:bottom w:val="single" w:sz="4" w:space="0" w:color="000000"/>
              <w:right w:val="single" w:sz="4" w:space="0" w:color="000000"/>
            </w:tcBorders>
            <w:hideMark/>
          </w:tcPr>
          <w:p w14:paraId="2A3A1D0A"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951.750</w:t>
            </w:r>
          </w:p>
        </w:tc>
        <w:tc>
          <w:tcPr>
            <w:tcW w:w="1263" w:type="dxa"/>
            <w:tcBorders>
              <w:top w:val="single" w:sz="4" w:space="0" w:color="000000"/>
              <w:left w:val="single" w:sz="4" w:space="0" w:color="000000"/>
              <w:bottom w:val="single" w:sz="4" w:space="0" w:color="000000"/>
              <w:right w:val="single" w:sz="4" w:space="0" w:color="000000"/>
            </w:tcBorders>
            <w:hideMark/>
          </w:tcPr>
          <w:p w14:paraId="1278D6DC"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3.450.132</w:t>
            </w:r>
          </w:p>
        </w:tc>
        <w:tc>
          <w:tcPr>
            <w:tcW w:w="1133" w:type="dxa"/>
            <w:tcBorders>
              <w:top w:val="single" w:sz="4" w:space="0" w:color="000000"/>
              <w:left w:val="single" w:sz="4" w:space="0" w:color="000000"/>
              <w:bottom w:val="single" w:sz="4" w:space="0" w:color="000000"/>
              <w:right w:val="single" w:sz="4" w:space="0" w:color="000000"/>
            </w:tcBorders>
            <w:hideMark/>
          </w:tcPr>
          <w:p w14:paraId="40D781AD"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6.019.286</w:t>
            </w:r>
          </w:p>
        </w:tc>
        <w:tc>
          <w:tcPr>
            <w:tcW w:w="1198" w:type="dxa"/>
            <w:tcBorders>
              <w:top w:val="single" w:sz="4" w:space="0" w:color="000000"/>
              <w:left w:val="single" w:sz="4" w:space="0" w:color="000000"/>
              <w:bottom w:val="single" w:sz="4" w:space="0" w:color="000000"/>
              <w:right w:val="single" w:sz="4" w:space="0" w:color="000000"/>
            </w:tcBorders>
            <w:hideMark/>
          </w:tcPr>
          <w:p w14:paraId="269695D4"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3.450.132</w:t>
            </w:r>
          </w:p>
        </w:tc>
        <w:tc>
          <w:tcPr>
            <w:tcW w:w="1280" w:type="dxa"/>
            <w:tcBorders>
              <w:top w:val="single" w:sz="4" w:space="0" w:color="000000"/>
              <w:left w:val="single" w:sz="4" w:space="0" w:color="000000"/>
              <w:bottom w:val="single" w:sz="4" w:space="0" w:color="000000"/>
              <w:right w:val="single" w:sz="4" w:space="0" w:color="000000"/>
            </w:tcBorders>
            <w:hideMark/>
          </w:tcPr>
          <w:p w14:paraId="79FEA088"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11.077.002</w:t>
            </w:r>
          </w:p>
        </w:tc>
        <w:tc>
          <w:tcPr>
            <w:tcW w:w="1198" w:type="dxa"/>
            <w:tcBorders>
              <w:top w:val="single" w:sz="4" w:space="0" w:color="000000"/>
              <w:left w:val="single" w:sz="4" w:space="0" w:color="000000"/>
              <w:bottom w:val="single" w:sz="4" w:space="0" w:color="000000"/>
              <w:right w:val="single" w:sz="4" w:space="0" w:color="000000"/>
            </w:tcBorders>
            <w:hideMark/>
          </w:tcPr>
          <w:p w14:paraId="38617C4A"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3.450.132</w:t>
            </w:r>
          </w:p>
        </w:tc>
        <w:tc>
          <w:tcPr>
            <w:tcW w:w="1280" w:type="dxa"/>
            <w:tcBorders>
              <w:top w:val="single" w:sz="4" w:space="0" w:color="000000"/>
              <w:left w:val="single" w:sz="4" w:space="0" w:color="000000"/>
              <w:bottom w:val="single" w:sz="4" w:space="0" w:color="000000"/>
              <w:right w:val="single" w:sz="4" w:space="0" w:color="000000"/>
            </w:tcBorders>
            <w:hideMark/>
          </w:tcPr>
          <w:p w14:paraId="0EE9F887" w14:textId="77777777" w:rsidR="009F5D24" w:rsidRPr="0084645F" w:rsidRDefault="009F5D24" w:rsidP="008B7EB8">
            <w:pPr>
              <w:ind w:left="-115"/>
              <w:jc w:val="center"/>
              <w:rPr>
                <w:rFonts w:eastAsia="Calibri" w:cs="Times New Roman"/>
                <w:b/>
                <w:bCs/>
                <w:sz w:val="18"/>
                <w:szCs w:val="18"/>
              </w:rPr>
            </w:pPr>
            <w:r w:rsidRPr="0084645F">
              <w:rPr>
                <w:rFonts w:eastAsia="Calibri" w:cs="Times New Roman"/>
                <w:b/>
                <w:bCs/>
                <w:sz w:val="18"/>
                <w:szCs w:val="18"/>
              </w:rPr>
              <w:t>12.250.747</w:t>
            </w:r>
          </w:p>
        </w:tc>
      </w:tr>
    </w:tbl>
    <w:p w14:paraId="392F7258" w14:textId="77777777" w:rsidR="009F5D24" w:rsidRDefault="009F5D24" w:rsidP="009F5D24">
      <w:pPr>
        <w:spacing w:after="0" w:line="276" w:lineRule="auto"/>
        <w:jc w:val="both"/>
        <w:rPr>
          <w:rFonts w:eastAsia="Calibri" w:cs="Times New Roman"/>
          <w:bCs/>
          <w:kern w:val="0"/>
          <w14:ligatures w14:val="none"/>
        </w:rPr>
      </w:pPr>
    </w:p>
    <w:p w14:paraId="56C06540" w14:textId="5367337F" w:rsidR="009F5D24" w:rsidRPr="0084645F" w:rsidRDefault="009F5D24" w:rsidP="009F5D24">
      <w:pPr>
        <w:spacing w:after="0" w:line="276" w:lineRule="auto"/>
        <w:jc w:val="both"/>
        <w:rPr>
          <w:rFonts w:eastAsia="Calibri" w:cs="Times New Roman"/>
          <w:bCs/>
          <w:kern w:val="0"/>
          <w14:ligatures w14:val="none"/>
        </w:rPr>
      </w:pPr>
      <w:r w:rsidRPr="0084645F">
        <w:rPr>
          <w:rFonts w:eastAsia="Calibri" w:cs="Times New Roman"/>
          <w:bCs/>
          <w:kern w:val="0"/>
          <w14:ligatures w14:val="none"/>
        </w:rPr>
        <w:t>L’investimento ha l’obiettivo di aumentare il volume delle prestazioni rese in assistenza domiciliare fino a prendere in carico, entro T2 2026 (unico Target Europeo), almeno 800.000 nuovi pazienti over 65 corrispondente al 10% della popolazione di età superiore ai 65 anni (in linea con le migliori prassi europee), rispetto all’attuale 5% in media tra le diverse regioni italiane.</w:t>
      </w:r>
    </w:p>
    <w:p w14:paraId="099BEA6C" w14:textId="77777777" w:rsidR="009F5D24" w:rsidRDefault="009F5D24" w:rsidP="009F5D24">
      <w:pPr>
        <w:spacing w:after="0" w:line="276" w:lineRule="auto"/>
        <w:jc w:val="both"/>
        <w:rPr>
          <w:rFonts w:eastAsia="Calibri" w:cs="Times New Roman"/>
          <w:bCs/>
          <w:kern w:val="0"/>
          <w14:ligatures w14:val="none"/>
        </w:rPr>
      </w:pPr>
    </w:p>
    <w:p w14:paraId="2DF927DC" w14:textId="2FD7EC95" w:rsidR="009F5D24" w:rsidRPr="0084645F" w:rsidRDefault="009F5D24" w:rsidP="009F5D24">
      <w:pPr>
        <w:spacing w:after="0" w:line="276" w:lineRule="auto"/>
        <w:jc w:val="both"/>
        <w:rPr>
          <w:rFonts w:eastAsia="Calibri" w:cs="Times New Roman"/>
          <w:bCs/>
          <w:kern w:val="0"/>
          <w14:ligatures w14:val="none"/>
        </w:rPr>
      </w:pPr>
      <w:r w:rsidRPr="0084645F">
        <w:rPr>
          <w:rFonts w:eastAsia="Calibri" w:cs="Times New Roman"/>
          <w:bCs/>
          <w:kern w:val="0"/>
          <w14:ligatures w14:val="none"/>
        </w:rPr>
        <w:t>Con la Determinazione Dirigenziale 13BE.2023/D.00182 del 14/6/2023 la Regione ha approvato il Piano Operativo regionale per l’investimento “</w:t>
      </w:r>
      <w:r w:rsidRPr="0084645F">
        <w:rPr>
          <w:rFonts w:eastAsia="Calibri" w:cs="Times New Roman"/>
          <w:bCs/>
          <w:i/>
          <w:iCs/>
          <w:kern w:val="0"/>
          <w14:ligatures w14:val="none"/>
        </w:rPr>
        <w:t>M6 C1 1.2.1: Missione 6 Salute, Componente 1, Investimento 1.2: Casa come primo luogo di cura e telemedicina, Sub-investimento 1.2.1: Assistenza domiciliare”</w:t>
      </w:r>
      <w:r w:rsidRPr="0084645F">
        <w:rPr>
          <w:rFonts w:eastAsia="Calibri" w:cs="Times New Roman"/>
          <w:bCs/>
          <w:kern w:val="0"/>
          <w14:ligatures w14:val="none"/>
        </w:rPr>
        <w:t xml:space="preserve"> ai sensi del DM 23.01.2023.</w:t>
      </w:r>
    </w:p>
    <w:p w14:paraId="1848B459" w14:textId="77777777" w:rsidR="009F5D24" w:rsidRPr="009F5D24" w:rsidRDefault="009F5D24" w:rsidP="009F5D24">
      <w:pPr>
        <w:pStyle w:val="ProvinciaTesto"/>
        <w:spacing w:line="276" w:lineRule="auto"/>
        <w:ind w:left="0"/>
        <w:rPr>
          <w:rFonts w:asciiTheme="minorHAnsi" w:hAnsiTheme="minorHAnsi"/>
          <w:bCs/>
          <w:sz w:val="22"/>
        </w:rPr>
      </w:pPr>
      <w:r w:rsidRPr="009F5D24">
        <w:rPr>
          <w:rFonts w:asciiTheme="minorHAnsi" w:hAnsiTheme="minorHAnsi"/>
          <w:bCs/>
          <w:sz w:val="22"/>
        </w:rPr>
        <w:t>Di seguito si riportano i dati di attività certificati dall’AGENAS per l’anno 2023 ed i dati provvisori anno 2024.</w:t>
      </w:r>
    </w:p>
    <w:p w14:paraId="383B73BA" w14:textId="77777777" w:rsidR="009F5D24" w:rsidRPr="009F5D24" w:rsidRDefault="009F5D24" w:rsidP="009F5D24">
      <w:pPr>
        <w:pStyle w:val="ProvinciaTesto"/>
        <w:spacing w:line="276" w:lineRule="auto"/>
        <w:rPr>
          <w:rFonts w:asciiTheme="minorHAnsi" w:eastAsiaTheme="minorHAnsi" w:hAnsiTheme="minorHAnsi"/>
          <w:b/>
          <w:bCs/>
          <w:sz w:val="20"/>
          <w:szCs w:val="20"/>
        </w:rPr>
      </w:pPr>
    </w:p>
    <w:p w14:paraId="5BD385A7" w14:textId="77777777" w:rsidR="009F5D24" w:rsidRPr="009F5D24" w:rsidRDefault="009F5D24" w:rsidP="009F5D24">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Anno 2023</w:t>
      </w:r>
    </w:p>
    <w:tbl>
      <w:tblPr>
        <w:tblStyle w:val="Grigliatabella"/>
        <w:tblW w:w="0" w:type="auto"/>
        <w:tblLook w:val="04A0" w:firstRow="1" w:lastRow="0" w:firstColumn="1" w:lastColumn="0" w:noHBand="0" w:noVBand="1"/>
      </w:tblPr>
      <w:tblGrid>
        <w:gridCol w:w="1530"/>
        <w:gridCol w:w="1530"/>
        <w:gridCol w:w="1530"/>
        <w:gridCol w:w="1530"/>
        <w:gridCol w:w="1531"/>
        <w:gridCol w:w="1531"/>
      </w:tblGrid>
      <w:tr w:rsidR="009F5D24" w:rsidRPr="009F5D24" w14:paraId="32B365B6" w14:textId="77777777" w:rsidTr="008B7EB8">
        <w:tc>
          <w:tcPr>
            <w:tcW w:w="1530" w:type="dxa"/>
            <w:tcBorders>
              <w:top w:val="single" w:sz="4" w:space="0" w:color="000000"/>
              <w:left w:val="single" w:sz="4" w:space="0" w:color="000000"/>
              <w:bottom w:val="single" w:sz="4" w:space="0" w:color="000000"/>
              <w:right w:val="single" w:sz="4" w:space="0" w:color="000000"/>
            </w:tcBorders>
            <w:hideMark/>
          </w:tcPr>
          <w:p w14:paraId="5CBB44C3"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Regione</w:t>
            </w:r>
          </w:p>
        </w:tc>
        <w:tc>
          <w:tcPr>
            <w:tcW w:w="1530" w:type="dxa"/>
            <w:tcBorders>
              <w:top w:val="single" w:sz="4" w:space="0" w:color="000000"/>
              <w:left w:val="single" w:sz="4" w:space="0" w:color="000000"/>
              <w:bottom w:val="single" w:sz="4" w:space="0" w:color="000000"/>
              <w:right w:val="single" w:sz="4" w:space="0" w:color="000000"/>
            </w:tcBorders>
            <w:hideMark/>
          </w:tcPr>
          <w:p w14:paraId="1749D8AA"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Assistiti over 65 – anno 2023</w:t>
            </w:r>
          </w:p>
        </w:tc>
        <w:tc>
          <w:tcPr>
            <w:tcW w:w="1530" w:type="dxa"/>
            <w:tcBorders>
              <w:top w:val="single" w:sz="4" w:space="0" w:color="000000"/>
              <w:left w:val="single" w:sz="4" w:space="0" w:color="000000"/>
              <w:bottom w:val="single" w:sz="4" w:space="0" w:color="000000"/>
              <w:right w:val="single" w:sz="4" w:space="0" w:color="000000"/>
            </w:tcBorders>
            <w:hideMark/>
          </w:tcPr>
          <w:p w14:paraId="0709B3D9"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Obiettivo assistiti 2023 ADI – over 65 (baseline 2019</w:t>
            </w:r>
          </w:p>
        </w:tc>
        <w:tc>
          <w:tcPr>
            <w:tcW w:w="1530" w:type="dxa"/>
            <w:tcBorders>
              <w:top w:val="single" w:sz="4" w:space="0" w:color="000000"/>
              <w:left w:val="single" w:sz="4" w:space="0" w:color="000000"/>
              <w:bottom w:val="single" w:sz="4" w:space="0" w:color="000000"/>
              <w:right w:val="single" w:sz="4" w:space="0" w:color="000000"/>
            </w:tcBorders>
            <w:hideMark/>
          </w:tcPr>
          <w:p w14:paraId="1A454741"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Obiettivo incrementale (over 65) da DM 23 gennaio 2023</w:t>
            </w:r>
          </w:p>
        </w:tc>
        <w:tc>
          <w:tcPr>
            <w:tcW w:w="1531" w:type="dxa"/>
            <w:tcBorders>
              <w:top w:val="single" w:sz="4" w:space="0" w:color="000000"/>
              <w:left w:val="single" w:sz="4" w:space="0" w:color="000000"/>
              <w:bottom w:val="single" w:sz="4" w:space="0" w:color="000000"/>
              <w:right w:val="single" w:sz="4" w:space="0" w:color="000000"/>
            </w:tcBorders>
            <w:hideMark/>
          </w:tcPr>
          <w:p w14:paraId="6ECB3DA9"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 xml:space="preserve">Incremento 2023 </w:t>
            </w:r>
          </w:p>
        </w:tc>
        <w:tc>
          <w:tcPr>
            <w:tcW w:w="1531" w:type="dxa"/>
            <w:tcBorders>
              <w:top w:val="single" w:sz="4" w:space="0" w:color="000000"/>
              <w:left w:val="single" w:sz="4" w:space="0" w:color="000000"/>
              <w:bottom w:val="single" w:sz="4" w:space="0" w:color="000000"/>
              <w:right w:val="single" w:sz="4" w:space="0" w:color="000000"/>
            </w:tcBorders>
            <w:hideMark/>
          </w:tcPr>
          <w:p w14:paraId="06096D51"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incremento</w:t>
            </w:r>
          </w:p>
        </w:tc>
      </w:tr>
      <w:tr w:rsidR="009F5D24" w:rsidRPr="009F5D24" w14:paraId="745CC6CF" w14:textId="77777777" w:rsidTr="008B7EB8">
        <w:tc>
          <w:tcPr>
            <w:tcW w:w="1530" w:type="dxa"/>
            <w:tcBorders>
              <w:top w:val="single" w:sz="4" w:space="0" w:color="000000"/>
              <w:left w:val="single" w:sz="4" w:space="0" w:color="000000"/>
              <w:bottom w:val="single" w:sz="4" w:space="0" w:color="000000"/>
              <w:right w:val="single" w:sz="4" w:space="0" w:color="000000"/>
            </w:tcBorders>
            <w:hideMark/>
          </w:tcPr>
          <w:p w14:paraId="2751D42E"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Basilicata</w:t>
            </w:r>
          </w:p>
        </w:tc>
        <w:tc>
          <w:tcPr>
            <w:tcW w:w="1530" w:type="dxa"/>
            <w:tcBorders>
              <w:top w:val="single" w:sz="4" w:space="0" w:color="000000"/>
              <w:left w:val="single" w:sz="4" w:space="0" w:color="000000"/>
              <w:bottom w:val="single" w:sz="4" w:space="0" w:color="000000"/>
              <w:right w:val="single" w:sz="4" w:space="0" w:color="000000"/>
            </w:tcBorders>
            <w:hideMark/>
          </w:tcPr>
          <w:p w14:paraId="0945B31E"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11.253</w:t>
            </w:r>
          </w:p>
        </w:tc>
        <w:tc>
          <w:tcPr>
            <w:tcW w:w="1530" w:type="dxa"/>
            <w:tcBorders>
              <w:top w:val="single" w:sz="4" w:space="0" w:color="000000"/>
              <w:left w:val="single" w:sz="4" w:space="0" w:color="000000"/>
              <w:bottom w:val="single" w:sz="4" w:space="0" w:color="000000"/>
              <w:right w:val="single" w:sz="4" w:space="0" w:color="000000"/>
            </w:tcBorders>
            <w:hideMark/>
          </w:tcPr>
          <w:p w14:paraId="51F54789"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11.237</w:t>
            </w:r>
          </w:p>
        </w:tc>
        <w:tc>
          <w:tcPr>
            <w:tcW w:w="1530" w:type="dxa"/>
            <w:tcBorders>
              <w:top w:val="single" w:sz="4" w:space="0" w:color="000000"/>
              <w:left w:val="single" w:sz="4" w:space="0" w:color="000000"/>
              <w:bottom w:val="single" w:sz="4" w:space="0" w:color="000000"/>
              <w:right w:val="single" w:sz="4" w:space="0" w:color="000000"/>
            </w:tcBorders>
            <w:hideMark/>
          </w:tcPr>
          <w:p w14:paraId="49C6311B"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4.788</w:t>
            </w:r>
          </w:p>
        </w:tc>
        <w:tc>
          <w:tcPr>
            <w:tcW w:w="1531" w:type="dxa"/>
            <w:tcBorders>
              <w:top w:val="single" w:sz="4" w:space="0" w:color="000000"/>
              <w:left w:val="single" w:sz="4" w:space="0" w:color="000000"/>
              <w:bottom w:val="single" w:sz="4" w:space="0" w:color="000000"/>
              <w:right w:val="single" w:sz="4" w:space="0" w:color="000000"/>
            </w:tcBorders>
            <w:hideMark/>
          </w:tcPr>
          <w:p w14:paraId="5356A695"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4.804</w:t>
            </w:r>
          </w:p>
        </w:tc>
        <w:tc>
          <w:tcPr>
            <w:tcW w:w="1531" w:type="dxa"/>
            <w:tcBorders>
              <w:top w:val="single" w:sz="4" w:space="0" w:color="000000"/>
              <w:left w:val="single" w:sz="4" w:space="0" w:color="000000"/>
              <w:bottom w:val="single" w:sz="4" w:space="0" w:color="000000"/>
              <w:right w:val="single" w:sz="4" w:space="0" w:color="000000"/>
            </w:tcBorders>
            <w:hideMark/>
          </w:tcPr>
          <w:p w14:paraId="3E4190CC"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100,3%</w:t>
            </w:r>
          </w:p>
        </w:tc>
      </w:tr>
    </w:tbl>
    <w:p w14:paraId="2643F833" w14:textId="77777777" w:rsidR="009F5D24" w:rsidRPr="009F5D24" w:rsidRDefault="009F5D24" w:rsidP="009F5D24">
      <w:pPr>
        <w:pStyle w:val="ProvinciaTesto"/>
        <w:spacing w:line="276" w:lineRule="auto"/>
        <w:rPr>
          <w:rFonts w:asciiTheme="minorHAnsi" w:eastAsiaTheme="minorHAnsi" w:hAnsiTheme="minorHAnsi"/>
          <w:b/>
          <w:bCs/>
          <w:sz w:val="20"/>
          <w:szCs w:val="20"/>
        </w:rPr>
      </w:pPr>
    </w:p>
    <w:p w14:paraId="18957FE4" w14:textId="77777777" w:rsidR="009F5D24" w:rsidRPr="009F5D24" w:rsidRDefault="009F5D24" w:rsidP="009F5D24">
      <w:pPr>
        <w:pStyle w:val="ProvinciaTesto"/>
        <w:spacing w:line="276" w:lineRule="auto"/>
        <w:ind w:left="0"/>
        <w:rPr>
          <w:rFonts w:asciiTheme="minorHAnsi" w:hAnsiTheme="minorHAnsi"/>
          <w:bCs/>
          <w:sz w:val="20"/>
          <w:szCs w:val="20"/>
        </w:rPr>
      </w:pPr>
      <w:r w:rsidRPr="009F5D24">
        <w:rPr>
          <w:rFonts w:asciiTheme="minorHAnsi" w:hAnsiTheme="minorHAnsi"/>
          <w:bCs/>
          <w:sz w:val="20"/>
          <w:szCs w:val="20"/>
        </w:rPr>
        <w:t xml:space="preserve">I dati dell’anno 2024 sono ancora incompleti e saranno certificati dall’AGENAS probabilmente nel mese di marzo 2025 dopo la chiusura del flusso SIAD 2024. Al momento si riporta l’aggiornamento dei dati a settembre 2024: </w:t>
      </w:r>
    </w:p>
    <w:p w14:paraId="3A580C9E" w14:textId="77777777" w:rsidR="009F5D24" w:rsidRPr="009F5D24" w:rsidRDefault="009F5D24" w:rsidP="009F5D24">
      <w:pPr>
        <w:pStyle w:val="ProvinciaTesto"/>
        <w:spacing w:line="276" w:lineRule="auto"/>
        <w:rPr>
          <w:rFonts w:asciiTheme="minorHAnsi" w:eastAsiaTheme="minorHAnsi" w:hAnsiTheme="minorHAnsi"/>
          <w:b/>
          <w:bCs/>
          <w:sz w:val="20"/>
          <w:szCs w:val="20"/>
        </w:rPr>
      </w:pPr>
    </w:p>
    <w:p w14:paraId="5EE8EB7A" w14:textId="77777777" w:rsidR="009F5D24" w:rsidRPr="009F5D24" w:rsidRDefault="009F5D24" w:rsidP="009F5D24">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Anno 2024 – dato aggiornato a settembre 2024</w:t>
      </w:r>
    </w:p>
    <w:tbl>
      <w:tblPr>
        <w:tblStyle w:val="Grigliatabella"/>
        <w:tblW w:w="0" w:type="auto"/>
        <w:tblLook w:val="04A0" w:firstRow="1" w:lastRow="0" w:firstColumn="1" w:lastColumn="0" w:noHBand="0" w:noVBand="1"/>
      </w:tblPr>
      <w:tblGrid>
        <w:gridCol w:w="1530"/>
        <w:gridCol w:w="1530"/>
        <w:gridCol w:w="2747"/>
        <w:gridCol w:w="3686"/>
      </w:tblGrid>
      <w:tr w:rsidR="009F5D24" w:rsidRPr="009F5D24" w14:paraId="4E3DE02F" w14:textId="77777777" w:rsidTr="008B7EB8">
        <w:tc>
          <w:tcPr>
            <w:tcW w:w="1530" w:type="dxa"/>
            <w:tcBorders>
              <w:top w:val="single" w:sz="4" w:space="0" w:color="000000"/>
              <w:left w:val="single" w:sz="4" w:space="0" w:color="000000"/>
              <w:bottom w:val="single" w:sz="4" w:space="0" w:color="000000"/>
              <w:right w:val="single" w:sz="4" w:space="0" w:color="000000"/>
            </w:tcBorders>
            <w:hideMark/>
          </w:tcPr>
          <w:p w14:paraId="289E9E9C"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Regione</w:t>
            </w:r>
          </w:p>
        </w:tc>
        <w:tc>
          <w:tcPr>
            <w:tcW w:w="1530" w:type="dxa"/>
            <w:tcBorders>
              <w:top w:val="single" w:sz="4" w:space="0" w:color="000000"/>
              <w:left w:val="single" w:sz="4" w:space="0" w:color="000000"/>
              <w:bottom w:val="single" w:sz="4" w:space="0" w:color="000000"/>
              <w:right w:val="single" w:sz="4" w:space="0" w:color="000000"/>
            </w:tcBorders>
            <w:hideMark/>
          </w:tcPr>
          <w:p w14:paraId="683780BD"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Assistiti over 65 – settembre 2024</w:t>
            </w:r>
          </w:p>
        </w:tc>
        <w:tc>
          <w:tcPr>
            <w:tcW w:w="2747" w:type="dxa"/>
            <w:tcBorders>
              <w:top w:val="single" w:sz="4" w:space="0" w:color="000000"/>
              <w:left w:val="single" w:sz="4" w:space="0" w:color="000000"/>
              <w:bottom w:val="single" w:sz="4" w:space="0" w:color="000000"/>
              <w:right w:val="single" w:sz="4" w:space="0" w:color="000000"/>
            </w:tcBorders>
            <w:hideMark/>
          </w:tcPr>
          <w:p w14:paraId="3452CA19"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Obiettivo assistiti 2024 ADI – over 65 (baseline 2019</w:t>
            </w:r>
          </w:p>
        </w:tc>
        <w:tc>
          <w:tcPr>
            <w:tcW w:w="3686" w:type="dxa"/>
            <w:tcBorders>
              <w:top w:val="single" w:sz="4" w:space="0" w:color="000000"/>
              <w:left w:val="single" w:sz="4" w:space="0" w:color="000000"/>
              <w:bottom w:val="single" w:sz="4" w:space="0" w:color="000000"/>
              <w:right w:val="single" w:sz="4" w:space="0" w:color="000000"/>
            </w:tcBorders>
            <w:hideMark/>
          </w:tcPr>
          <w:p w14:paraId="671FE916"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Obiettivo incrementale (over 65) da DM 23 gennaio 2023</w:t>
            </w:r>
          </w:p>
        </w:tc>
      </w:tr>
      <w:tr w:rsidR="009F5D24" w:rsidRPr="009F5D24" w14:paraId="3923A488" w14:textId="77777777" w:rsidTr="008B7EB8">
        <w:tc>
          <w:tcPr>
            <w:tcW w:w="1530" w:type="dxa"/>
            <w:tcBorders>
              <w:top w:val="single" w:sz="4" w:space="0" w:color="000000"/>
              <w:left w:val="single" w:sz="4" w:space="0" w:color="000000"/>
              <w:bottom w:val="single" w:sz="4" w:space="0" w:color="000000"/>
              <w:right w:val="single" w:sz="4" w:space="0" w:color="000000"/>
            </w:tcBorders>
            <w:hideMark/>
          </w:tcPr>
          <w:p w14:paraId="36CE5A32"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Basilicata</w:t>
            </w:r>
          </w:p>
        </w:tc>
        <w:tc>
          <w:tcPr>
            <w:tcW w:w="1530" w:type="dxa"/>
            <w:tcBorders>
              <w:top w:val="single" w:sz="4" w:space="0" w:color="000000"/>
              <w:left w:val="single" w:sz="4" w:space="0" w:color="000000"/>
              <w:bottom w:val="single" w:sz="4" w:space="0" w:color="000000"/>
              <w:right w:val="single" w:sz="4" w:space="0" w:color="000000"/>
            </w:tcBorders>
            <w:hideMark/>
          </w:tcPr>
          <w:p w14:paraId="2566F1F4"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10.212</w:t>
            </w:r>
          </w:p>
        </w:tc>
        <w:tc>
          <w:tcPr>
            <w:tcW w:w="2747" w:type="dxa"/>
            <w:tcBorders>
              <w:top w:val="single" w:sz="4" w:space="0" w:color="000000"/>
              <w:left w:val="single" w:sz="4" w:space="0" w:color="000000"/>
              <w:bottom w:val="single" w:sz="4" w:space="0" w:color="000000"/>
              <w:right w:val="single" w:sz="4" w:space="0" w:color="000000"/>
            </w:tcBorders>
            <w:hideMark/>
          </w:tcPr>
          <w:p w14:paraId="795CE38C" w14:textId="77777777" w:rsidR="009F5D24" w:rsidRPr="009F5D24" w:rsidRDefault="009F5D24" w:rsidP="008B7EB8">
            <w:pPr>
              <w:pStyle w:val="ProvinciaTesto"/>
              <w:spacing w:line="276" w:lineRule="auto"/>
              <w:ind w:left="0"/>
              <w:rPr>
                <w:rFonts w:asciiTheme="minorHAnsi" w:eastAsiaTheme="minorHAnsi" w:hAnsiTheme="minorHAnsi"/>
                <w:b/>
                <w:bCs/>
                <w:sz w:val="20"/>
                <w:szCs w:val="20"/>
              </w:rPr>
            </w:pPr>
            <w:r w:rsidRPr="009F5D24">
              <w:rPr>
                <w:rFonts w:asciiTheme="minorHAnsi" w:eastAsiaTheme="minorHAnsi" w:hAnsiTheme="minorHAnsi"/>
                <w:b/>
                <w:bCs/>
                <w:sz w:val="20"/>
                <w:szCs w:val="20"/>
              </w:rPr>
              <w:t>13.794</w:t>
            </w:r>
          </w:p>
        </w:tc>
        <w:tc>
          <w:tcPr>
            <w:tcW w:w="3686" w:type="dxa"/>
            <w:tcBorders>
              <w:top w:val="single" w:sz="4" w:space="0" w:color="000000"/>
              <w:left w:val="single" w:sz="4" w:space="0" w:color="000000"/>
              <w:bottom w:val="single" w:sz="4" w:space="0" w:color="000000"/>
              <w:right w:val="single" w:sz="4" w:space="0" w:color="000000"/>
            </w:tcBorders>
            <w:hideMark/>
          </w:tcPr>
          <w:p w14:paraId="7B925DC1" w14:textId="77777777" w:rsidR="009F5D24" w:rsidRPr="009F5D24" w:rsidRDefault="009F5D24" w:rsidP="008B7EB8">
            <w:pPr>
              <w:pStyle w:val="ProvinciaTesto"/>
              <w:spacing w:line="276" w:lineRule="auto"/>
              <w:ind w:left="0"/>
              <w:rPr>
                <w:rFonts w:asciiTheme="minorHAnsi" w:eastAsiaTheme="minorHAnsi" w:hAnsiTheme="minorHAnsi"/>
                <w:b/>
                <w:sz w:val="20"/>
                <w:szCs w:val="20"/>
              </w:rPr>
            </w:pPr>
            <w:r w:rsidRPr="009F5D24">
              <w:rPr>
                <w:rFonts w:asciiTheme="minorHAnsi" w:hAnsiTheme="minorHAnsi"/>
                <w:b/>
                <w:sz w:val="20"/>
                <w:szCs w:val="20"/>
              </w:rPr>
              <w:t>7.345</w:t>
            </w:r>
          </w:p>
        </w:tc>
      </w:tr>
    </w:tbl>
    <w:p w14:paraId="04A9A4E9" w14:textId="77777777" w:rsidR="00CC5261" w:rsidRPr="004A203A" w:rsidRDefault="00CC5261" w:rsidP="00CC5261">
      <w:pPr>
        <w:spacing w:after="0" w:line="240" w:lineRule="auto"/>
      </w:pPr>
    </w:p>
    <w:p w14:paraId="7B282095" w14:textId="26281AFF" w:rsidR="00CC5261" w:rsidRPr="008F39B1" w:rsidRDefault="008F39B1" w:rsidP="00CC5261">
      <w:pPr>
        <w:spacing w:after="0" w:line="240" w:lineRule="auto"/>
        <w:rPr>
          <w:b/>
          <w:bCs/>
          <w:sz w:val="24"/>
          <w:szCs w:val="24"/>
          <w:u w:val="single"/>
        </w:rPr>
      </w:pPr>
      <w:r>
        <w:rPr>
          <w:b/>
          <w:bCs/>
          <w:sz w:val="24"/>
          <w:szCs w:val="24"/>
          <w:u w:val="single"/>
        </w:rPr>
        <w:t xml:space="preserve">4 - </w:t>
      </w:r>
      <w:r w:rsidR="00CC5261" w:rsidRPr="008F39B1">
        <w:rPr>
          <w:b/>
          <w:bCs/>
          <w:sz w:val="24"/>
          <w:szCs w:val="24"/>
          <w:u w:val="single"/>
        </w:rPr>
        <w:t>Digitalizzazione dei sevizi e telemedicina</w:t>
      </w:r>
    </w:p>
    <w:p w14:paraId="4D76FF32" w14:textId="77777777" w:rsidR="00CC5261" w:rsidRPr="004A203A" w:rsidRDefault="00CC5261" w:rsidP="00CC5261">
      <w:pPr>
        <w:spacing w:after="0" w:line="240" w:lineRule="auto"/>
      </w:pPr>
    </w:p>
    <w:p w14:paraId="6928FFCC" w14:textId="77777777" w:rsidR="00CC5261" w:rsidRDefault="00CC5261" w:rsidP="00CC5261">
      <w:pPr>
        <w:jc w:val="both"/>
      </w:pPr>
      <w:r>
        <w:t xml:space="preserve">Il PNRR finanzia interventi </w:t>
      </w:r>
      <w:r w:rsidRPr="00A042B5">
        <w:t>di a</w:t>
      </w:r>
      <w:r w:rsidRPr="00175241">
        <w:t>ggiornamento tecnologico e digitale</w:t>
      </w:r>
      <w:r w:rsidRPr="00A042B5">
        <w:t xml:space="preserve"> al fine di garantire l’erogazione di Livelli Essenziali di Assistenza in maniera omogenea, in tutto il Paese, grazie all’elaborazione e all’analisi dei dati, anche in seguito alla diffusione del Fascicolo Sanitario Elettronico (FSE). In tale direzione gli investimenti devono essere orientati a</w:t>
      </w:r>
      <w:r w:rsidRPr="00175241">
        <w:t xml:space="preserve"> rinnovare i sistemi digitali</w:t>
      </w:r>
      <w:r>
        <w:t>.</w:t>
      </w:r>
    </w:p>
    <w:p w14:paraId="64EA1EC2" w14:textId="77777777" w:rsidR="00CC5261" w:rsidRDefault="00CC5261" w:rsidP="00CC5261">
      <w:pPr>
        <w:jc w:val="both"/>
        <w:rPr>
          <w:b/>
          <w:bCs/>
        </w:rPr>
      </w:pPr>
      <w:r w:rsidRPr="006500DC">
        <w:rPr>
          <w:b/>
          <w:bCs/>
        </w:rPr>
        <w:t>La diffusione capillare dei servizi di telemedicina su tutto il territorio consente la valorizzazione della domiciliarità, l’incremento della presa in carico del paziente e dell’accesso alle prestazioni, la semplificazione dei percorsi assistenziali, migliorando anche la sostenibilità economica e ambientale dei servizi.</w:t>
      </w:r>
    </w:p>
    <w:p w14:paraId="04AAD6AA" w14:textId="77777777" w:rsidR="00CC5261" w:rsidRPr="006500DC" w:rsidRDefault="00CC5261" w:rsidP="00CC5261">
      <w:pPr>
        <w:jc w:val="both"/>
        <w:rPr>
          <w:b/>
          <w:bCs/>
        </w:rPr>
      </w:pPr>
      <w:r w:rsidRPr="00BB43E3">
        <w:rPr>
          <w:b/>
          <w:bCs/>
        </w:rPr>
        <w:t>Investire in innovazione tecnologica e telemedicina non solo migliorerà l'efficacia e l'efficienza del sistema sanitario, ma contribuirà anche a ridurre le disuguaglianze territoriali, garantendo a tutti i cittadini della Basilicata un'assistenza sanitaria di alta qualità.</w:t>
      </w:r>
      <w:r w:rsidRPr="00485B61">
        <w:rPr>
          <w:b/>
          <w:bCs/>
        </w:rPr>
        <w:t xml:space="preserve"> </w:t>
      </w:r>
    </w:p>
    <w:p w14:paraId="28F9F799" w14:textId="77777777" w:rsidR="00CC5261" w:rsidRDefault="00CC5261" w:rsidP="00CC5261">
      <w:pPr>
        <w:spacing w:after="0" w:line="240" w:lineRule="auto"/>
        <w:jc w:val="both"/>
      </w:pPr>
      <w:r>
        <w:t>La Regione Basilicata, oltre alle risorse rese disponibili nell’ambito del PNRR, ha attivato altre fonti di finanziamento al fine di supportare importanti progettualità miranti orientate ad accrescere il livello di digitalizzazione dei servizi nel settore della Salute.</w:t>
      </w:r>
    </w:p>
    <w:p w14:paraId="189C7922" w14:textId="77777777" w:rsidR="00CC5261" w:rsidRDefault="00CC5261" w:rsidP="00CC5261">
      <w:pPr>
        <w:spacing w:after="0" w:line="240" w:lineRule="auto"/>
        <w:jc w:val="both"/>
      </w:pPr>
    </w:p>
    <w:p w14:paraId="45DFCAF1" w14:textId="77777777" w:rsidR="00CC5261" w:rsidRDefault="00CC5261" w:rsidP="00CC5261">
      <w:pPr>
        <w:spacing w:after="0" w:line="240" w:lineRule="auto"/>
        <w:jc w:val="both"/>
      </w:pPr>
      <w:r w:rsidRPr="004E1BF9">
        <w:rPr>
          <w:u w:val="single"/>
        </w:rPr>
        <w:t>Importante obiettivo è il completamento del Portale “</w:t>
      </w:r>
      <w:r w:rsidRPr="004E1BF9">
        <w:rPr>
          <w:b/>
          <w:bCs/>
          <w:u w:val="single"/>
        </w:rPr>
        <w:t>Salute Basilicata</w:t>
      </w:r>
      <w:r w:rsidRPr="004E1BF9">
        <w:rPr>
          <w:u w:val="single"/>
        </w:rPr>
        <w:t>” e dell’app gemella</w:t>
      </w:r>
      <w:r w:rsidRPr="004A203A">
        <w:t xml:space="preserve"> che rappresentano il </w:t>
      </w:r>
      <w:r w:rsidRPr="00F63A39">
        <w:rPr>
          <w:b/>
          <w:bCs/>
        </w:rPr>
        <w:t>punto d’accesso ai servizi sanitari digitalizzati</w:t>
      </w:r>
      <w:r w:rsidRPr="004A203A">
        <w:t xml:space="preserve"> della regione Basilicata.</w:t>
      </w:r>
    </w:p>
    <w:p w14:paraId="3579653B" w14:textId="77777777" w:rsidR="00CC5261" w:rsidRPr="004A203A" w:rsidRDefault="00CC5261" w:rsidP="00CC5261">
      <w:pPr>
        <w:spacing w:after="0" w:line="240" w:lineRule="auto"/>
        <w:jc w:val="both"/>
      </w:pPr>
      <w:r w:rsidRPr="00485B61">
        <w:rPr>
          <w:b/>
          <w:bCs/>
        </w:rPr>
        <w:t>Questo permetterà di migliorare la qualità delle cure, facilitare la condivisione delle informazioni tra i professionisti sanitari e offrire ai cittadini un accesso più semplice e sicuro ai propri dati sanitari.</w:t>
      </w:r>
    </w:p>
    <w:p w14:paraId="0D2D4E92" w14:textId="77777777" w:rsidR="00CC5261" w:rsidRDefault="00CC5261" w:rsidP="00CC5261">
      <w:pPr>
        <w:spacing w:after="0" w:line="240" w:lineRule="auto"/>
        <w:jc w:val="both"/>
      </w:pPr>
    </w:p>
    <w:p w14:paraId="1E2BEB1E" w14:textId="77777777" w:rsidR="00CC5261" w:rsidRPr="00A042B5" w:rsidRDefault="00CC5261" w:rsidP="00CC5261">
      <w:pPr>
        <w:spacing w:after="0" w:line="240" w:lineRule="auto"/>
        <w:jc w:val="both"/>
        <w:rPr>
          <w:b/>
          <w:bCs/>
        </w:rPr>
      </w:pPr>
      <w:r w:rsidRPr="004A203A">
        <w:t xml:space="preserve">Con circa </w:t>
      </w:r>
      <w:r w:rsidRPr="004E1BF9">
        <w:rPr>
          <w:b/>
          <w:bCs/>
          <w:u w:val="single"/>
        </w:rPr>
        <w:t>9 milioni di fondi del Programma FSC</w:t>
      </w:r>
      <w:r w:rsidRPr="004A203A">
        <w:t xml:space="preserve">, è stato messo a disposizione delle Aziende del SSR un </w:t>
      </w:r>
      <w:r w:rsidRPr="00F63A39">
        <w:rPr>
          <w:b/>
          <w:bCs/>
        </w:rPr>
        <w:t>sistema di Telemedicina Regionale</w:t>
      </w:r>
      <w:r w:rsidRPr="004A203A">
        <w:t xml:space="preserve"> che consente di effettuare </w:t>
      </w:r>
      <w:proofErr w:type="spellStart"/>
      <w:r w:rsidRPr="00A042B5">
        <w:rPr>
          <w:b/>
          <w:bCs/>
        </w:rPr>
        <w:t>televisite</w:t>
      </w:r>
      <w:proofErr w:type="spellEnd"/>
      <w:r w:rsidRPr="00A042B5">
        <w:rPr>
          <w:b/>
          <w:bCs/>
        </w:rPr>
        <w:t xml:space="preserve">, teleconsulti, telecontrolli e teleassistenza. </w:t>
      </w:r>
    </w:p>
    <w:p w14:paraId="15E79A98" w14:textId="77777777" w:rsidR="00CC5261" w:rsidRDefault="00CC5261" w:rsidP="00CC5261">
      <w:pPr>
        <w:spacing w:after="0" w:line="240" w:lineRule="auto"/>
        <w:jc w:val="both"/>
      </w:pPr>
    </w:p>
    <w:p w14:paraId="712271A3" w14:textId="697B5BB6" w:rsidR="00CC5261" w:rsidRDefault="00CC5261" w:rsidP="00CC5261">
      <w:pPr>
        <w:spacing w:after="0" w:line="240" w:lineRule="auto"/>
        <w:jc w:val="both"/>
      </w:pPr>
      <w:r w:rsidRPr="004E1BF9">
        <w:rPr>
          <w:b/>
          <w:bCs/>
          <w:u w:val="single"/>
        </w:rPr>
        <w:t>PNRR M6</w:t>
      </w:r>
      <w:r w:rsidR="00CE17EE" w:rsidRPr="004E1BF9">
        <w:rPr>
          <w:b/>
          <w:bCs/>
          <w:u w:val="single"/>
        </w:rPr>
        <w:t>.</w:t>
      </w:r>
      <w:r w:rsidRPr="004E1BF9">
        <w:rPr>
          <w:b/>
          <w:bCs/>
          <w:u w:val="single"/>
        </w:rPr>
        <w:t>C1|1.2.3.2. “Servizi di telemedicina”</w:t>
      </w:r>
      <w:r>
        <w:rPr>
          <w:b/>
          <w:bCs/>
        </w:rPr>
        <w:t xml:space="preserve"> -</w:t>
      </w:r>
      <w:r w:rsidRPr="00C23EFB">
        <w:t xml:space="preserve"> Le risorse,</w:t>
      </w:r>
      <w:r>
        <w:t xml:space="preserve"> pari a </w:t>
      </w:r>
      <w:r w:rsidRPr="00F63A39">
        <w:rPr>
          <w:b/>
          <w:bCs/>
        </w:rPr>
        <w:t>7 milioni</w:t>
      </w:r>
      <w:r>
        <w:rPr>
          <w:b/>
          <w:bCs/>
        </w:rPr>
        <w:t xml:space="preserve"> di euro, </w:t>
      </w:r>
      <w:r w:rsidRPr="004A203A">
        <w:t>consentiranno il collegamento della piattaforma regionale con la piattaforma Nazionale oltre all’</w:t>
      </w:r>
      <w:r w:rsidRPr="00F63A39">
        <w:rPr>
          <w:b/>
          <w:bCs/>
        </w:rPr>
        <w:t>acquisto di circa 1,4 milioni di devices</w:t>
      </w:r>
      <w:r w:rsidRPr="004A203A">
        <w:t>.</w:t>
      </w:r>
    </w:p>
    <w:p w14:paraId="516E71CD" w14:textId="77777777" w:rsidR="00CC5261" w:rsidRPr="004A203A" w:rsidRDefault="00CC5261" w:rsidP="00CC5261">
      <w:pPr>
        <w:spacing w:after="0" w:line="240" w:lineRule="auto"/>
        <w:jc w:val="both"/>
      </w:pPr>
    </w:p>
    <w:p w14:paraId="15109B6B" w14:textId="46F6AB4C" w:rsidR="00CC5261" w:rsidRPr="00C23EFB" w:rsidRDefault="00CC5261" w:rsidP="00CC5261">
      <w:pPr>
        <w:spacing w:after="0" w:line="240" w:lineRule="auto"/>
        <w:jc w:val="both"/>
      </w:pPr>
      <w:r w:rsidRPr="004E1BF9">
        <w:rPr>
          <w:b/>
          <w:bCs/>
          <w:u w:val="single"/>
        </w:rPr>
        <w:t>PNRR - M6.C2 - 1.3.1 “Rafforzamento dell'infrastruttura tecnologica e degli strumenti per la raccolta, l’elaborazione, l’analisi dei dati e la simulazione (FSE)”</w:t>
      </w:r>
      <w:r>
        <w:t xml:space="preserve"> Il finanziamento è utilizzato, </w:t>
      </w:r>
      <w:r>
        <w:lastRenderedPageBreak/>
        <w:t xml:space="preserve">per </w:t>
      </w:r>
      <w:r w:rsidRPr="00C23EFB">
        <w:rPr>
          <w:b/>
          <w:bCs/>
        </w:rPr>
        <w:t>€ 3,7 ml</w:t>
      </w:r>
      <w:r>
        <w:rPr>
          <w:b/>
          <w:bCs/>
        </w:rPr>
        <w:t xml:space="preserve">, </w:t>
      </w:r>
      <w:r>
        <w:t xml:space="preserve">per l’adeguamento della </w:t>
      </w:r>
      <w:r>
        <w:rPr>
          <w:b/>
          <w:bCs/>
        </w:rPr>
        <w:t xml:space="preserve">struttura tecnologica </w:t>
      </w:r>
      <w:r>
        <w:t xml:space="preserve">finalizzata </w:t>
      </w:r>
      <w:r w:rsidRPr="004A203A">
        <w:t>all’attuazione ed al dispiegamento del FSE 2.0.</w:t>
      </w:r>
      <w:r>
        <w:t xml:space="preserve"> e, per </w:t>
      </w:r>
      <w:r>
        <w:rPr>
          <w:b/>
          <w:bCs/>
        </w:rPr>
        <w:t xml:space="preserve">€ 3,4 ml </w:t>
      </w:r>
      <w:r>
        <w:t xml:space="preserve">per </w:t>
      </w:r>
      <w:r>
        <w:rPr>
          <w:b/>
          <w:bCs/>
        </w:rPr>
        <w:t xml:space="preserve">progetti di formazione e comunicazione sul FSE </w:t>
      </w:r>
      <w:r w:rsidR="00803189">
        <w:rPr>
          <w:b/>
          <w:bCs/>
        </w:rPr>
        <w:t xml:space="preserve">(Fascicolo Sanitario Elettronico) </w:t>
      </w:r>
      <w:r>
        <w:t>rivolti al personale delle Aziende del SSR, dei CEA e ai MMG/PLS</w:t>
      </w:r>
    </w:p>
    <w:p w14:paraId="39271876" w14:textId="16D363E4" w:rsidR="00CC5261" w:rsidRDefault="00CC5261" w:rsidP="00CC5261">
      <w:pPr>
        <w:spacing w:after="0" w:line="240" w:lineRule="auto"/>
        <w:jc w:val="both"/>
      </w:pPr>
      <w:r w:rsidRPr="004A203A">
        <w:t>Gli interventi sono finalizzati anche ad inserire nel FSE oltre alla documentazione generata dalle strutture pubbliche anche quella proveniente dai CEA e dai MMG/PLS.</w:t>
      </w:r>
    </w:p>
    <w:p w14:paraId="46ABD7C7" w14:textId="48DA5331" w:rsidR="00803189" w:rsidRDefault="00803189" w:rsidP="00CC5261">
      <w:pPr>
        <w:spacing w:after="0" w:line="240" w:lineRule="auto"/>
        <w:jc w:val="both"/>
      </w:pPr>
      <w:r w:rsidRPr="00803189">
        <w:t>Attualmente è già possibile accedere ai propri documenti presenti sul FSE attraverso il portale e l’APP; sono presenti già parte delle lettere di dimissione, dei referti ambulatoriali, dei referti di laboratorio, dei referti radiologici e le prescrizioni dematerializzate (sia ambulatoriali che farmaceutiche). Recentemente è stato inserito il “taccuino personale” all’interno del quale l’assistito può inerire, in autonomia, altre informazioni sanitarie, a breve ci sarà il dossier vaccinale</w:t>
      </w:r>
    </w:p>
    <w:p w14:paraId="2BE23060" w14:textId="77777777" w:rsidR="00CC5261" w:rsidRPr="004A203A" w:rsidRDefault="00CC5261" w:rsidP="00CC5261">
      <w:pPr>
        <w:spacing w:after="0" w:line="240" w:lineRule="auto"/>
        <w:jc w:val="both"/>
      </w:pPr>
    </w:p>
    <w:p w14:paraId="1F668D9F" w14:textId="3C7A34CD" w:rsidR="00CC5261" w:rsidRDefault="00CC5261" w:rsidP="00CC5261">
      <w:pPr>
        <w:spacing w:after="0" w:line="240" w:lineRule="auto"/>
        <w:jc w:val="both"/>
      </w:pPr>
      <w:r w:rsidRPr="004E1BF9">
        <w:rPr>
          <w:b/>
          <w:bCs/>
          <w:u w:val="single"/>
        </w:rPr>
        <w:t>PNRR M6</w:t>
      </w:r>
      <w:r w:rsidR="00CE17EE" w:rsidRPr="004E1BF9">
        <w:rPr>
          <w:b/>
          <w:bCs/>
          <w:u w:val="single"/>
        </w:rPr>
        <w:t>.</w:t>
      </w:r>
      <w:r w:rsidRPr="004E1BF9">
        <w:rPr>
          <w:b/>
          <w:bCs/>
          <w:u w:val="single"/>
        </w:rPr>
        <w:t>C2 1.1.1.1 Ammodernamento del parco tecnologico e digitale ospedaliero (Digitalizzazione DEA I e II livello)</w:t>
      </w:r>
      <w:r>
        <w:rPr>
          <w:b/>
          <w:bCs/>
        </w:rPr>
        <w:t xml:space="preserve">. </w:t>
      </w:r>
      <w:r w:rsidRPr="004A203A">
        <w:t xml:space="preserve">L’utilizzo di circa </w:t>
      </w:r>
      <w:r w:rsidRPr="004E1BF9">
        <w:rPr>
          <w:b/>
          <w:u w:val="single"/>
        </w:rPr>
        <w:t>16 milioni di euro</w:t>
      </w:r>
      <w:r w:rsidRPr="004A203A">
        <w:t xml:space="preserve"> rinvenienti dalla linea di investi</w:t>
      </w:r>
      <w:r>
        <w:t>mento consente il</w:t>
      </w:r>
      <w:r w:rsidRPr="004A203A">
        <w:t xml:space="preserve"> potenziamento della digitalizzazione dei nostri Ospedali. </w:t>
      </w:r>
    </w:p>
    <w:p w14:paraId="3C53CFD3" w14:textId="77777777" w:rsidR="00CC5261" w:rsidRDefault="00CC5261" w:rsidP="00CC5261">
      <w:pPr>
        <w:spacing w:after="0" w:line="240" w:lineRule="auto"/>
        <w:jc w:val="both"/>
      </w:pPr>
      <w:r>
        <w:t>Tale potenziamento</w:t>
      </w:r>
      <w:r w:rsidRPr="004A203A">
        <w:t xml:space="preserve"> consentirà di innalzare di almeno un punto il livello di digitalizzazione delle nostre strutture rispetto alla valutazione effettuata utilizzando il modello HIMSS EMRAM</w:t>
      </w:r>
      <w:r>
        <w:t>.</w:t>
      </w:r>
    </w:p>
    <w:p w14:paraId="76589AEE" w14:textId="77777777" w:rsidR="00CC5261" w:rsidRPr="00A042B5" w:rsidRDefault="00CC5261" w:rsidP="00CC5261">
      <w:pPr>
        <w:spacing w:after="0" w:line="240" w:lineRule="auto"/>
        <w:jc w:val="both"/>
        <w:rPr>
          <w:b/>
          <w:bCs/>
        </w:rPr>
      </w:pPr>
    </w:p>
    <w:p w14:paraId="403C8F07" w14:textId="77777777" w:rsidR="00CC5261" w:rsidRDefault="00CC5261" w:rsidP="00CC5261">
      <w:pPr>
        <w:spacing w:after="0" w:line="240" w:lineRule="auto"/>
        <w:jc w:val="both"/>
      </w:pPr>
      <w:r w:rsidRPr="004E1BF9">
        <w:rPr>
          <w:b/>
          <w:bCs/>
          <w:u w:val="single"/>
        </w:rPr>
        <w:t>POC Basilicata 2014/2020 - Asse 2 “Agenda digitale” – Azione 3 – Operazione “Potenziamento del Sistema Informativo Sociale Basilicata”</w:t>
      </w:r>
      <w:r>
        <w:rPr>
          <w:b/>
          <w:bCs/>
        </w:rPr>
        <w:t>.</w:t>
      </w:r>
      <w:r w:rsidRPr="00A042B5">
        <w:rPr>
          <w:b/>
          <w:bCs/>
        </w:rPr>
        <w:t xml:space="preserve"> </w:t>
      </w:r>
      <w:r w:rsidRPr="004A203A">
        <w:t xml:space="preserve">Con </w:t>
      </w:r>
      <w:r>
        <w:t xml:space="preserve">il finanziamento di </w:t>
      </w:r>
      <w:r w:rsidRPr="004A203A">
        <w:t xml:space="preserve">circa </w:t>
      </w:r>
      <w:r w:rsidRPr="004E1BF9">
        <w:rPr>
          <w:b/>
          <w:bCs/>
          <w:u w:val="single"/>
        </w:rPr>
        <w:t>4 milioni di euro</w:t>
      </w:r>
      <w:r w:rsidRPr="004A203A">
        <w:t xml:space="preserve"> si è provveduto a finanziare l’evoluzione del Fascicolo Sociale della regione Basilicata, l’intervento, oltre a migliorare ed integrare le funzionalità presenti nel sistema informativo, prevede anche personale di supporto dei Comuni per migliorare la raccolta dati.</w:t>
      </w:r>
      <w:r>
        <w:t xml:space="preserve"> </w:t>
      </w:r>
      <w:bookmarkEnd w:id="2"/>
    </w:p>
    <w:p w14:paraId="6E47CF0A" w14:textId="77777777" w:rsidR="00CC5261" w:rsidRDefault="00CC5261" w:rsidP="00CC5261">
      <w:pPr>
        <w:spacing w:after="0" w:line="240" w:lineRule="auto"/>
        <w:jc w:val="both"/>
      </w:pPr>
      <w:r>
        <w:t>I</w:t>
      </w:r>
      <w:r w:rsidRPr="00800688">
        <w:t xml:space="preserve"> benefici saranno in termini di efficientamento della gestione, ausilio al controllo ed alla programmazione degli interventi. Con i dati raccolti si potrà analizzare gli interventi realizzati ed utilizzare i risultati per le successive programmazioni. È previsto anche una integrazione tra il sistema per l’assistenza sociale e quella sanitaria territoriale per migliorare la cura del paziente in caso di interventi “coincidenti”</w:t>
      </w:r>
      <w:r>
        <w:t>.</w:t>
      </w:r>
    </w:p>
    <w:p w14:paraId="592FEADA" w14:textId="77777777" w:rsidR="00F375C4" w:rsidRPr="000F5741" w:rsidRDefault="00F375C4" w:rsidP="00F375C4">
      <w:pPr>
        <w:spacing w:after="0" w:line="240" w:lineRule="auto"/>
        <w:jc w:val="both"/>
        <w:rPr>
          <w:rFonts w:ascii="Garamond" w:hAnsi="Garamond"/>
        </w:rPr>
      </w:pPr>
    </w:p>
    <w:p w14:paraId="5887A8A3" w14:textId="09AA58FD" w:rsidR="002B1FBF" w:rsidRDefault="002B1FBF">
      <w:r>
        <w:br w:type="page"/>
      </w:r>
    </w:p>
    <w:p w14:paraId="0DF184AA" w14:textId="77777777" w:rsidR="002B1FBF" w:rsidRDefault="002B1FBF" w:rsidP="00ED167C">
      <w:pPr>
        <w:jc w:val="both"/>
      </w:pPr>
    </w:p>
    <w:p w14:paraId="6CAC38D9" w14:textId="4ABB51F5" w:rsidR="00ED167C" w:rsidRPr="00976E55" w:rsidRDefault="00ED167C" w:rsidP="00ED167C">
      <w:pPr>
        <w:jc w:val="both"/>
        <w:rPr>
          <w:b/>
          <w:bCs/>
        </w:rPr>
      </w:pPr>
      <w:r w:rsidRPr="002854FB">
        <w:rPr>
          <w:b/>
          <w:bCs/>
          <w:u w:val="single"/>
        </w:rPr>
        <w:t>PERSONALE</w:t>
      </w:r>
      <w:r w:rsidRPr="00976E55">
        <w:rPr>
          <w:b/>
          <w:bCs/>
        </w:rPr>
        <w:t>:</w:t>
      </w:r>
    </w:p>
    <w:p w14:paraId="65DA738D" w14:textId="73954015" w:rsidR="002B1FBF" w:rsidRPr="00C60EB9" w:rsidRDefault="004E1BF9" w:rsidP="002B1FBF">
      <w:pPr>
        <w:jc w:val="both"/>
        <w:rPr>
          <w:b/>
          <w:sz w:val="24"/>
          <w:szCs w:val="24"/>
          <w:u w:val="single"/>
        </w:rPr>
      </w:pPr>
      <w:r w:rsidRPr="00C60EB9">
        <w:rPr>
          <w:b/>
          <w:sz w:val="24"/>
          <w:szCs w:val="24"/>
          <w:u w:val="single"/>
        </w:rPr>
        <w:t xml:space="preserve">1 - </w:t>
      </w:r>
      <w:r w:rsidR="002B1FBF" w:rsidRPr="00C60EB9">
        <w:rPr>
          <w:b/>
          <w:sz w:val="24"/>
          <w:szCs w:val="24"/>
          <w:u w:val="single"/>
        </w:rPr>
        <w:t>Politiche del personale convenzionato con il S.S.R.</w:t>
      </w:r>
    </w:p>
    <w:p w14:paraId="724316BD" w14:textId="77777777" w:rsidR="00976E55" w:rsidRPr="00976E55" w:rsidRDefault="00976E55" w:rsidP="00976E55">
      <w:pPr>
        <w:jc w:val="both"/>
      </w:pPr>
      <w:r w:rsidRPr="00976E55">
        <w:t xml:space="preserve">In Basilicata, la medicina convenzionata ha intrapreso un significativo processo di rinnovamento, con particolare attenzione all’organizzazione e alla gestione delle </w:t>
      </w:r>
      <w:r w:rsidRPr="00976E55">
        <w:rPr>
          <w:b/>
          <w:bCs/>
        </w:rPr>
        <w:t xml:space="preserve">AFT </w:t>
      </w:r>
      <w:r w:rsidRPr="00976E55">
        <w:t xml:space="preserve">(Aggregazioni Funzionali Territoriali) e delle </w:t>
      </w:r>
      <w:r w:rsidRPr="00976E55">
        <w:rPr>
          <w:b/>
          <w:bCs/>
        </w:rPr>
        <w:t xml:space="preserve">UCCP </w:t>
      </w:r>
      <w:r w:rsidRPr="00976E55">
        <w:t>(Unità Complesse di Cure Primarie). L'</w:t>
      </w:r>
      <w:r w:rsidRPr="00976E55">
        <w:rPr>
          <w:b/>
          <w:bCs/>
        </w:rPr>
        <w:t xml:space="preserve">Atto di definizione delle AFT e UCCP (DGR 600/2024), </w:t>
      </w:r>
      <w:r w:rsidRPr="00976E55">
        <w:t xml:space="preserve">in attuazione della Programmazione Nazionale e Regionale ed in coerenza con gli AACCNN della medicina convenzionata tutta, ha sancito le modalità di organizzazione funzionale di tali istituti giuridici, delineando in modo chiaro le modalità operative e i criteri di partecipazione per i medici di medicina generale (MMG) i Pediatri di Libera Scelta (PLS) e gli Specialisti Ambulatoriali (S.A.), oltre alle altre professionalità coinvolte sul territorio. </w:t>
      </w:r>
    </w:p>
    <w:p w14:paraId="40B2C449" w14:textId="12CC4A7F" w:rsidR="002B1FBF" w:rsidRDefault="00976E55" w:rsidP="00976E55">
      <w:pPr>
        <w:jc w:val="both"/>
      </w:pPr>
      <w:r w:rsidRPr="00976E55">
        <w:t>In sostanza, la previsione delle AFT e delle UCCP incentiva l’aggregazione tra i professionisti (Medici, Pediatri, Specialisti Ambulatoriali, ecc..), creando spazi di cooperazione più ampi e strutturati, che favoriscono un’assistenza continua e integrata, superando il sostanziale isolamento operativo dei medici solo parzialmente attenuato dalle precedenti forme di organizzazione funzionale (Associazioni, Gruppi e Reti di medici).</w:t>
      </w:r>
    </w:p>
    <w:p w14:paraId="2AE35CBD" w14:textId="157B7C26" w:rsidR="00976E55" w:rsidRDefault="00976E55" w:rsidP="00976E55">
      <w:pPr>
        <w:jc w:val="both"/>
      </w:pPr>
      <w:r w:rsidRPr="00976E55">
        <w:t>Tale imprescindibile e propedeutico approccio organizzativo/funzionale si inserisce nel più ampio contesto di riforma che mira a rendere il sistema sanitario territoriale più stabile e sostenibile, con un rafforzamento delle strutture e una distribuzione più equa dei servizi. L'</w:t>
      </w:r>
      <w:r w:rsidRPr="00F15FD7">
        <w:rPr>
          <w:b/>
          <w:bCs/>
        </w:rPr>
        <w:t>introduzione del ruolo unico del MMG</w:t>
      </w:r>
      <w:r w:rsidRPr="00976E55">
        <w:t>, in particolare, rappresenta un passaggio fondamentale per garantire una risposta più tempestiva ed efficace alle esigenze della popolazione, evitando la dispersione di risorse e incentivando la permanenza dei professionisti nelle aree più svantaggiate e difficili da raggiungere</w:t>
      </w:r>
      <w:r>
        <w:t>.</w:t>
      </w:r>
    </w:p>
    <w:p w14:paraId="3D567999" w14:textId="587B7262" w:rsidR="00D02351" w:rsidRPr="007F7EEE" w:rsidRDefault="00D02351" w:rsidP="00976E55">
      <w:pPr>
        <w:jc w:val="both"/>
        <w:rPr>
          <w:b/>
          <w:color w:val="FF0000"/>
          <w:u w:val="single"/>
        </w:rPr>
      </w:pPr>
      <w:r w:rsidRPr="007F7EEE">
        <w:rPr>
          <w:b/>
          <w:color w:val="FF0000"/>
          <w:u w:val="single"/>
        </w:rPr>
        <w:t>Si sottolinea la sproporzione della spesa attuale per i 429 medici di continuità assistenziale, che attualmente operano su 140 sedi sul territorio della Basilicata (molte di queste inadeguate ed obsolete), con una spesa che nel 2024 si è assestata sui 26 Mln circa. La Regione Basilicata è prima in Italia per spesa ogni 1000 abitanti (1385h/1000ab)</w:t>
      </w:r>
      <w:r w:rsidR="007E5672" w:rsidRPr="007F7EEE">
        <w:rPr>
          <w:b/>
          <w:color w:val="FF0000"/>
          <w:u w:val="single"/>
        </w:rPr>
        <w:t>,</w:t>
      </w:r>
      <w:r w:rsidRPr="007F7EEE">
        <w:rPr>
          <w:b/>
          <w:color w:val="FF0000"/>
          <w:u w:val="single"/>
        </w:rPr>
        <w:t xml:space="preserve"> di un ordine di grandezza superiore rispetto alla Lombardia</w:t>
      </w:r>
      <w:r w:rsidR="007E5672" w:rsidRPr="007F7EEE">
        <w:rPr>
          <w:b/>
          <w:color w:val="FF0000"/>
          <w:u w:val="single"/>
        </w:rPr>
        <w:t xml:space="preserve"> (149h/1000ab)</w:t>
      </w:r>
      <w:r w:rsidRPr="007F7EEE">
        <w:rPr>
          <w:b/>
          <w:color w:val="FF0000"/>
          <w:u w:val="single"/>
        </w:rPr>
        <w:t>.</w:t>
      </w:r>
    </w:p>
    <w:p w14:paraId="6AA098E5" w14:textId="77777777" w:rsidR="00976E55" w:rsidRPr="00976E55" w:rsidRDefault="00976E55" w:rsidP="00976E55">
      <w:pPr>
        <w:jc w:val="both"/>
      </w:pPr>
      <w:r w:rsidRPr="00976E55">
        <w:t xml:space="preserve">Con la definizione delle nuove forme di aggregazione funzionale, in Basilicata, si è potuto finalmente procedere con l’attivazione dei Tavoli Regionali di negoziazione dei nuovi Accordi Integrativi Regionali per gli </w:t>
      </w:r>
      <w:r w:rsidRPr="00976E55">
        <w:rPr>
          <w:b/>
          <w:bCs/>
        </w:rPr>
        <w:t>Specialisti Ambulatoriali (circa 130), dei Medici di Medicina Generale (circa 400) e dei Pediatri di Libera scelta (circa 50)</w:t>
      </w:r>
      <w:r w:rsidRPr="00976E55">
        <w:t xml:space="preserve">. </w:t>
      </w:r>
    </w:p>
    <w:p w14:paraId="2E168978" w14:textId="77777777" w:rsidR="00976E55" w:rsidRPr="00976E55" w:rsidRDefault="00976E55" w:rsidP="00976E55">
      <w:pPr>
        <w:jc w:val="both"/>
      </w:pPr>
      <w:r w:rsidRPr="00976E55">
        <w:rPr>
          <w:b/>
          <w:bCs/>
        </w:rPr>
        <w:t xml:space="preserve">L’anno 2024 </w:t>
      </w:r>
      <w:r w:rsidRPr="00976E55">
        <w:t xml:space="preserve">si è concluso con il raggiungimento del primo dei tre obiettivi, ovvero con la redazione e sottoscrizione dell’A.I.R. per la Specialistica Ambulatoriale approvato con </w:t>
      </w:r>
      <w:r w:rsidRPr="00976E55">
        <w:rPr>
          <w:b/>
          <w:bCs/>
        </w:rPr>
        <w:t>DGR 825 del 30.12.2024</w:t>
      </w:r>
      <w:r w:rsidRPr="00976E55">
        <w:t xml:space="preserve">, fermo a 17 anni addietro, finalizzato ad ottimizzare l’offerta di prestazioni specialistiche sul territorio. </w:t>
      </w:r>
    </w:p>
    <w:p w14:paraId="31A4993C" w14:textId="65BDEED4" w:rsidR="00976E55" w:rsidRPr="00976E55" w:rsidRDefault="00976E55" w:rsidP="00976E55">
      <w:pPr>
        <w:jc w:val="both"/>
      </w:pPr>
      <w:r w:rsidRPr="00976E55">
        <w:t>L’AIR varato nel 2024 ha ampliato l'accesso a servizi specialistici</w:t>
      </w:r>
      <w:r w:rsidR="00FA4ED4">
        <w:t>,</w:t>
      </w:r>
      <w:r w:rsidRPr="00976E55">
        <w:t xml:space="preserve"> offrendo una valida alternativa al ricorso agli ospedali e contribuendo ad alleggerire il carico sulle strutture ospedaliere. Questa misura ha avuto il duplice obiettivo di potenziare la medicina convenzionata e migliorare l'accesso a cure tempestive, rispondendo così in maniera più efficiente alle esigenze della popolazione. </w:t>
      </w:r>
    </w:p>
    <w:p w14:paraId="795C457A" w14:textId="17371CA8" w:rsidR="00976E55" w:rsidRDefault="00976E55" w:rsidP="00976E55">
      <w:pPr>
        <w:jc w:val="both"/>
      </w:pPr>
      <w:r w:rsidRPr="00976E55">
        <w:t xml:space="preserve">In parallelo, è stata ripresa la </w:t>
      </w:r>
      <w:r w:rsidRPr="00976E55">
        <w:rPr>
          <w:b/>
          <w:bCs/>
        </w:rPr>
        <w:t xml:space="preserve">negoziazione integrativa </w:t>
      </w:r>
      <w:r w:rsidRPr="00976E55">
        <w:t>con i M</w:t>
      </w:r>
      <w:r w:rsidRPr="00976E55">
        <w:rPr>
          <w:b/>
          <w:bCs/>
        </w:rPr>
        <w:t xml:space="preserve">edici di Medicina Generale (MMG) </w:t>
      </w:r>
      <w:r w:rsidRPr="00976E55">
        <w:t>un processo anch’esso fermo da 17 anni. L'avvio del tavolo di trattativa, avvenuto in concomitanza con quello della Specialistica Ambulatoriale, è prossimo alla sua positiva conclusione che, previsionalmente, potrà concludersi nei prossimi giorni</w:t>
      </w:r>
      <w:r w:rsidR="00F15FD7">
        <w:t>.</w:t>
      </w:r>
    </w:p>
    <w:p w14:paraId="65950314" w14:textId="025A90C3" w:rsidR="00F15FD7" w:rsidRDefault="00F15FD7" w:rsidP="00976E55">
      <w:pPr>
        <w:jc w:val="both"/>
      </w:pPr>
      <w:r w:rsidRPr="00F15FD7">
        <w:t xml:space="preserve">Il percorso di rinegoziazione con le principali categorie di professionisti convenzionati potrà e dovrà concludersi anche con i </w:t>
      </w:r>
      <w:r w:rsidRPr="00F15FD7">
        <w:rPr>
          <w:b/>
          <w:bCs/>
        </w:rPr>
        <w:t>Pediatri di Libera Scelta (PLS)</w:t>
      </w:r>
      <w:r w:rsidRPr="00F15FD7">
        <w:t>, fermi anche loro ad un AIR risalente a molti anni addietro</w:t>
      </w:r>
    </w:p>
    <w:p w14:paraId="162ADE18" w14:textId="7B65A584" w:rsidR="00F5265D" w:rsidRPr="00F5265D" w:rsidRDefault="00F5265D" w:rsidP="00F5265D">
      <w:pPr>
        <w:jc w:val="both"/>
        <w:rPr>
          <w:b/>
          <w:bCs/>
          <w:i/>
          <w:u w:val="single"/>
        </w:rPr>
      </w:pPr>
      <w:r w:rsidRPr="00F5265D">
        <w:rPr>
          <w:b/>
          <w:bCs/>
          <w:i/>
          <w:u w:val="single"/>
        </w:rPr>
        <w:lastRenderedPageBreak/>
        <w:t>EMERGENZA URGENZA 118</w:t>
      </w:r>
    </w:p>
    <w:p w14:paraId="05970B4D" w14:textId="77777777" w:rsidR="00F5265D" w:rsidRDefault="00F5265D" w:rsidP="00F5265D">
      <w:pPr>
        <w:jc w:val="both"/>
      </w:pPr>
      <w:r>
        <w:t xml:space="preserve">L’attuale assetto strutturale del DEU 118, nell’ambito della competenza assegnate dalla LR n.2/2017 all’ASP di Potenza, è così definito: </w:t>
      </w:r>
    </w:p>
    <w:p w14:paraId="0E992E84" w14:textId="77777777" w:rsidR="00F5265D" w:rsidRDefault="00F5265D" w:rsidP="00F5265D">
      <w:pPr>
        <w:pStyle w:val="Paragrafoelenco"/>
        <w:numPr>
          <w:ilvl w:val="0"/>
          <w:numId w:val="45"/>
        </w:numPr>
        <w:jc w:val="both"/>
      </w:pPr>
      <w:r>
        <w:t xml:space="preserve">Centrale Operativa unica regionale ubicata a Potenza (centrale di backup in fase di realizzazione presso sede Matera) </w:t>
      </w:r>
    </w:p>
    <w:p w14:paraId="259A3181" w14:textId="77777777" w:rsidR="00F5265D" w:rsidRDefault="00F5265D" w:rsidP="00F5265D">
      <w:pPr>
        <w:pStyle w:val="Paragrafoelenco"/>
        <w:numPr>
          <w:ilvl w:val="0"/>
          <w:numId w:val="45"/>
        </w:numPr>
        <w:jc w:val="both"/>
      </w:pPr>
      <w:r>
        <w:t xml:space="preserve">N. 26 Punti Territoriali di Soccorso (PTS) di 1° livello (Ambulanza di Primo Soccorso con equipaggio Autista e Infermiere) </w:t>
      </w:r>
    </w:p>
    <w:p w14:paraId="2769FA81" w14:textId="77777777" w:rsidR="00F5265D" w:rsidRDefault="00F5265D" w:rsidP="00F5265D">
      <w:pPr>
        <w:pStyle w:val="Paragrafoelenco"/>
        <w:numPr>
          <w:ilvl w:val="0"/>
          <w:numId w:val="45"/>
        </w:numPr>
        <w:jc w:val="both"/>
      </w:pPr>
      <w:r>
        <w:t xml:space="preserve">N. 1 Punto Territoriale di Soccorso (PTS) di 2° livello (Auto medica con equipaggio Infermiere-autista e Medico) [attualmente Ambulanza in configurazione India per estrema carenza di medici [dotazione solo n° 1 Medico]). </w:t>
      </w:r>
    </w:p>
    <w:p w14:paraId="27BBFC22" w14:textId="77777777" w:rsidR="00F5265D" w:rsidRDefault="00F5265D" w:rsidP="00F5265D">
      <w:pPr>
        <w:pStyle w:val="Paragrafoelenco"/>
        <w:numPr>
          <w:ilvl w:val="0"/>
          <w:numId w:val="45"/>
        </w:numPr>
        <w:jc w:val="both"/>
      </w:pPr>
      <w:r>
        <w:t xml:space="preserve">N. 11 Punti Territoriali di Soccorso (PTS) di 4° livello (Ambulanza Avanzata con equipaggio Autista, Infermiere e Medico) </w:t>
      </w:r>
    </w:p>
    <w:p w14:paraId="71C472F3" w14:textId="77777777" w:rsidR="00F5265D" w:rsidRDefault="00F5265D" w:rsidP="00F5265D">
      <w:pPr>
        <w:pStyle w:val="Paragrafoelenco"/>
        <w:numPr>
          <w:ilvl w:val="0"/>
          <w:numId w:val="45"/>
        </w:numPr>
        <w:jc w:val="both"/>
      </w:pPr>
      <w:r>
        <w:t>N. 8 PPI o Punti Territoriali di Soccorso (PTS) di 3° livello (Postazioni fisse di Primo Soccorso in sede di Ospedali Distrettuali non accreditati al trattamento di pazienti Acuti).</w:t>
      </w:r>
    </w:p>
    <w:p w14:paraId="6A914A29" w14:textId="5E996EEF" w:rsidR="004F6D5A" w:rsidRDefault="008B7117" w:rsidP="00F5265D">
      <w:pPr>
        <w:jc w:val="both"/>
      </w:pPr>
      <w:r>
        <w:rPr>
          <w:color w:val="FF0000"/>
        </w:rPr>
        <w:t>Attualmente sono in servizio presso il DEU 118</w:t>
      </w:r>
      <w:r w:rsidRPr="004F6D5A">
        <w:rPr>
          <w:color w:val="FF0000"/>
        </w:rPr>
        <w:t xml:space="preserve"> </w:t>
      </w:r>
      <w:r>
        <w:rPr>
          <w:b/>
          <w:color w:val="FF0000"/>
          <w:u w:val="single"/>
        </w:rPr>
        <w:t xml:space="preserve">36 medici </w:t>
      </w:r>
      <w:r w:rsidRPr="007F7EEE">
        <w:rPr>
          <w:color w:val="FF0000"/>
          <w:u w:val="single"/>
        </w:rPr>
        <w:t>con convenzione a tempo determinato</w:t>
      </w:r>
      <w:r>
        <w:rPr>
          <w:color w:val="FF0000"/>
        </w:rPr>
        <w:t xml:space="preserve"> rispetto ad una </w:t>
      </w:r>
      <w:r w:rsidR="004F6D5A">
        <w:rPr>
          <w:color w:val="FF0000"/>
        </w:rPr>
        <w:t xml:space="preserve">dotazione teorica </w:t>
      </w:r>
      <w:r>
        <w:rPr>
          <w:color w:val="FF0000"/>
        </w:rPr>
        <w:t xml:space="preserve">di </w:t>
      </w:r>
      <w:r w:rsidR="004F6D5A" w:rsidRPr="004F6D5A">
        <w:rPr>
          <w:color w:val="FF0000"/>
        </w:rPr>
        <w:t xml:space="preserve">circa 110 </w:t>
      </w:r>
      <w:r>
        <w:rPr>
          <w:color w:val="FF0000"/>
        </w:rPr>
        <w:t>unità.</w:t>
      </w:r>
    </w:p>
    <w:p w14:paraId="187AC2E0" w14:textId="121C8119" w:rsidR="00F5265D" w:rsidRDefault="00F5265D" w:rsidP="00F5265D">
      <w:pPr>
        <w:jc w:val="both"/>
      </w:pPr>
      <w:r>
        <w:t xml:space="preserve">La dotazione organica di </w:t>
      </w:r>
      <w:r w:rsidRPr="007311C8">
        <w:rPr>
          <w:u w:val="single"/>
        </w:rPr>
        <w:t>personale Medico</w:t>
      </w:r>
      <w:r>
        <w:t xml:space="preserve"> è la seguente:</w:t>
      </w:r>
    </w:p>
    <w:tbl>
      <w:tblPr>
        <w:tblStyle w:val="Grigliatabella1"/>
        <w:tblW w:w="9072" w:type="dxa"/>
        <w:tblInd w:w="137" w:type="dxa"/>
        <w:tblLook w:val="04A0" w:firstRow="1" w:lastRow="0" w:firstColumn="1" w:lastColumn="0" w:noHBand="0" w:noVBand="1"/>
      </w:tblPr>
      <w:tblGrid>
        <w:gridCol w:w="7085"/>
        <w:gridCol w:w="1987"/>
      </w:tblGrid>
      <w:tr w:rsidR="00F5265D" w:rsidRPr="00B801F5" w14:paraId="4753907A" w14:textId="77777777" w:rsidTr="00F5265D">
        <w:trPr>
          <w:trHeight w:val="695"/>
        </w:trPr>
        <w:tc>
          <w:tcPr>
            <w:tcW w:w="7085" w:type="dxa"/>
            <w:vAlign w:val="center"/>
          </w:tcPr>
          <w:p w14:paraId="7145FC24" w14:textId="77777777" w:rsidR="00F5265D" w:rsidRPr="00B801F5" w:rsidRDefault="00F5265D" w:rsidP="00C76403">
            <w:pPr>
              <w:widowControl w:val="0"/>
              <w:suppressAutoHyphens/>
              <w:autoSpaceDN w:val="0"/>
              <w:ind w:right="284"/>
              <w:jc w:val="center"/>
              <w:textAlignment w:val="baseline"/>
              <w:rPr>
                <w:rFonts w:ascii="Calibri Light" w:eastAsia="SimSun" w:hAnsi="Calibri Light" w:cs="Calibri Light"/>
                <w:b/>
                <w:color w:val="00000A"/>
                <w:kern w:val="3"/>
                <w:sz w:val="20"/>
                <w:szCs w:val="20"/>
                <w:lang w:eastAsia="zh-CN" w:bidi="hi-IN"/>
              </w:rPr>
            </w:pPr>
            <w:r w:rsidRPr="00B801F5">
              <w:rPr>
                <w:rFonts w:ascii="Calibri Light" w:eastAsia="SimSun" w:hAnsi="Calibri Light" w:cs="Calibri Light"/>
                <w:b/>
                <w:color w:val="00000A"/>
                <w:sz w:val="20"/>
                <w:szCs w:val="20"/>
                <w:lang w:eastAsia="zh-CN" w:bidi="hi-IN"/>
              </w:rPr>
              <w:t>DOTAZIONE PERSONALE MEDICO</w:t>
            </w:r>
          </w:p>
        </w:tc>
        <w:tc>
          <w:tcPr>
            <w:tcW w:w="1987" w:type="dxa"/>
            <w:vAlign w:val="center"/>
          </w:tcPr>
          <w:p w14:paraId="24E6DA5B" w14:textId="77777777" w:rsidR="00F5265D" w:rsidRPr="00B801F5" w:rsidRDefault="00F5265D" w:rsidP="00C76403">
            <w:pPr>
              <w:widowControl w:val="0"/>
              <w:suppressAutoHyphens/>
              <w:autoSpaceDN w:val="0"/>
              <w:ind w:right="284"/>
              <w:jc w:val="center"/>
              <w:textAlignment w:val="baseline"/>
              <w:rPr>
                <w:rFonts w:ascii="Calibri Light" w:eastAsia="SimSun" w:hAnsi="Calibri Light" w:cs="Calibri Light"/>
                <w:b/>
                <w:color w:val="00000A"/>
                <w:kern w:val="3"/>
                <w:sz w:val="20"/>
                <w:szCs w:val="20"/>
                <w:lang w:eastAsia="zh-CN" w:bidi="hi-IN"/>
              </w:rPr>
            </w:pPr>
            <w:r w:rsidRPr="00B801F5">
              <w:rPr>
                <w:rFonts w:ascii="Calibri Light" w:eastAsia="SimSun" w:hAnsi="Calibri Light" w:cs="Calibri Light"/>
                <w:b/>
                <w:color w:val="00000A"/>
                <w:sz w:val="20"/>
                <w:szCs w:val="20"/>
                <w:lang w:eastAsia="zh-CN" w:bidi="hi-IN"/>
              </w:rPr>
              <w:t>Dotazione attuale</w:t>
            </w:r>
          </w:p>
        </w:tc>
      </w:tr>
      <w:tr w:rsidR="00F5265D" w:rsidRPr="00B801F5" w14:paraId="4FFE23D8" w14:textId="77777777" w:rsidTr="00F5265D">
        <w:tc>
          <w:tcPr>
            <w:tcW w:w="7085" w:type="dxa"/>
          </w:tcPr>
          <w:p w14:paraId="6BDA73BB" w14:textId="77777777" w:rsidR="00F5265D" w:rsidRPr="00B801F5" w:rsidRDefault="00F5265D" w:rsidP="00C76403">
            <w:pPr>
              <w:widowControl w:val="0"/>
              <w:numPr>
                <w:ilvl w:val="0"/>
                <w:numId w:val="46"/>
              </w:numPr>
              <w:suppressAutoHyphens/>
              <w:autoSpaceDN w:val="0"/>
              <w:spacing w:before="60" w:after="60"/>
              <w:ind w:left="306" w:right="284" w:hanging="284"/>
              <w:jc w:val="both"/>
              <w:textAlignment w:val="baseline"/>
              <w:rPr>
                <w:rFonts w:ascii="Calibri Light" w:eastAsia="SimSun" w:hAnsi="Calibri Light" w:cs="Calibri Light"/>
                <w:color w:val="00000A"/>
                <w:kern w:val="3"/>
                <w:sz w:val="20"/>
                <w:szCs w:val="20"/>
                <w:lang w:eastAsia="zh-CN" w:bidi="hi-IN"/>
              </w:rPr>
            </w:pPr>
            <w:r w:rsidRPr="00B801F5">
              <w:rPr>
                <w:rFonts w:ascii="Calibri Light" w:eastAsia="Times New Roman" w:hAnsi="Calibri Light" w:cs="Calibri Light"/>
                <w:color w:val="00000A"/>
                <w:kern w:val="3"/>
                <w:sz w:val="24"/>
                <w:szCs w:val="24"/>
                <w:lang w:eastAsia="ar-SA" w:bidi="hi-IN"/>
              </w:rPr>
              <w:t>Personale medico PP.TT.S. mobili (Mike e Alfa)</w:t>
            </w:r>
          </w:p>
        </w:tc>
        <w:tc>
          <w:tcPr>
            <w:tcW w:w="1987" w:type="dxa"/>
          </w:tcPr>
          <w:p w14:paraId="3696BDDA" w14:textId="77777777" w:rsidR="00F5265D" w:rsidRPr="00B801F5" w:rsidRDefault="00F5265D" w:rsidP="00C76403">
            <w:pPr>
              <w:widowControl w:val="0"/>
              <w:suppressAutoHyphens/>
              <w:autoSpaceDN w:val="0"/>
              <w:spacing w:before="60" w:after="60"/>
              <w:ind w:right="284"/>
              <w:jc w:val="center"/>
              <w:textAlignment w:val="baseline"/>
              <w:rPr>
                <w:rFonts w:ascii="Calibri Light" w:eastAsia="SimSun" w:hAnsi="Calibri Light" w:cs="Calibri Light"/>
                <w:b/>
                <w:bCs/>
                <w:i/>
                <w:iCs/>
                <w:color w:val="00000A"/>
                <w:kern w:val="3"/>
                <w:sz w:val="20"/>
                <w:szCs w:val="20"/>
                <w:lang w:eastAsia="zh-CN" w:bidi="hi-IN"/>
              </w:rPr>
            </w:pPr>
            <w:r w:rsidRPr="00B801F5">
              <w:rPr>
                <w:rFonts w:ascii="Calibri Light" w:eastAsia="SimSun" w:hAnsi="Calibri Light" w:cs="Calibri Light"/>
                <w:b/>
                <w:bCs/>
                <w:i/>
                <w:iCs/>
                <w:color w:val="00000A"/>
                <w:kern w:val="3"/>
                <w:sz w:val="20"/>
                <w:szCs w:val="20"/>
                <w:lang w:eastAsia="zh-CN" w:bidi="hi-IN"/>
              </w:rPr>
              <w:t xml:space="preserve">15 </w:t>
            </w:r>
          </w:p>
        </w:tc>
      </w:tr>
      <w:tr w:rsidR="00F5265D" w:rsidRPr="00B801F5" w14:paraId="16FB8E34" w14:textId="77777777" w:rsidTr="00F5265D">
        <w:tc>
          <w:tcPr>
            <w:tcW w:w="7085" w:type="dxa"/>
          </w:tcPr>
          <w:p w14:paraId="63B1F287" w14:textId="77777777" w:rsidR="00F5265D" w:rsidRPr="00B801F5" w:rsidRDefault="00F5265D" w:rsidP="00C76403">
            <w:pPr>
              <w:widowControl w:val="0"/>
              <w:numPr>
                <w:ilvl w:val="0"/>
                <w:numId w:val="46"/>
              </w:numPr>
              <w:suppressAutoHyphens/>
              <w:autoSpaceDN w:val="0"/>
              <w:spacing w:before="60" w:after="60"/>
              <w:ind w:left="306" w:right="284" w:hanging="284"/>
              <w:textAlignment w:val="baseline"/>
              <w:rPr>
                <w:rFonts w:ascii="Calibri Light" w:eastAsia="SimSun" w:hAnsi="Calibri Light" w:cs="Calibri Light"/>
                <w:color w:val="00000A"/>
                <w:kern w:val="3"/>
                <w:sz w:val="20"/>
                <w:szCs w:val="20"/>
                <w:lang w:eastAsia="zh-CN" w:bidi="hi-IN"/>
              </w:rPr>
            </w:pPr>
            <w:r w:rsidRPr="00B801F5">
              <w:rPr>
                <w:rFonts w:ascii="Calibri Light" w:eastAsia="Times New Roman" w:hAnsi="Calibri Light" w:cs="Calibri Light"/>
                <w:color w:val="00000A"/>
                <w:kern w:val="3"/>
                <w:sz w:val="24"/>
                <w:szCs w:val="24"/>
                <w:lang w:eastAsia="ar-SA" w:bidi="hi-IN"/>
              </w:rPr>
              <w:t>Personale medico PP.TT.S. fissi (PPI)</w:t>
            </w:r>
          </w:p>
        </w:tc>
        <w:tc>
          <w:tcPr>
            <w:tcW w:w="1987" w:type="dxa"/>
          </w:tcPr>
          <w:p w14:paraId="3CB215D0" w14:textId="77777777" w:rsidR="00F5265D" w:rsidRPr="00B801F5" w:rsidRDefault="00F5265D" w:rsidP="00C76403">
            <w:pPr>
              <w:widowControl w:val="0"/>
              <w:suppressAutoHyphens/>
              <w:autoSpaceDN w:val="0"/>
              <w:spacing w:before="60" w:after="60"/>
              <w:ind w:right="284"/>
              <w:jc w:val="center"/>
              <w:textAlignment w:val="baseline"/>
              <w:rPr>
                <w:rFonts w:ascii="Calibri Light" w:eastAsia="SimSun" w:hAnsi="Calibri Light" w:cs="Calibri Light"/>
                <w:b/>
                <w:bCs/>
                <w:i/>
                <w:iCs/>
                <w:color w:val="00000A"/>
                <w:kern w:val="3"/>
                <w:sz w:val="20"/>
                <w:szCs w:val="20"/>
                <w:lang w:eastAsia="zh-CN" w:bidi="hi-IN"/>
              </w:rPr>
            </w:pPr>
            <w:r w:rsidRPr="00B801F5">
              <w:rPr>
                <w:rFonts w:ascii="Calibri Light" w:eastAsia="SimSun" w:hAnsi="Calibri Light" w:cs="Calibri Light"/>
                <w:b/>
                <w:bCs/>
                <w:i/>
                <w:iCs/>
                <w:color w:val="00000A"/>
                <w:kern w:val="3"/>
                <w:sz w:val="20"/>
                <w:szCs w:val="20"/>
                <w:lang w:eastAsia="zh-CN" w:bidi="hi-IN"/>
              </w:rPr>
              <w:t>17</w:t>
            </w:r>
          </w:p>
        </w:tc>
      </w:tr>
      <w:tr w:rsidR="00F5265D" w:rsidRPr="00B801F5" w14:paraId="34B3C21F" w14:textId="77777777" w:rsidTr="00F5265D">
        <w:tc>
          <w:tcPr>
            <w:tcW w:w="7085" w:type="dxa"/>
          </w:tcPr>
          <w:p w14:paraId="4B8B18DD" w14:textId="77777777" w:rsidR="00F5265D" w:rsidRPr="00B801F5" w:rsidRDefault="00F5265D" w:rsidP="00C76403">
            <w:pPr>
              <w:widowControl w:val="0"/>
              <w:numPr>
                <w:ilvl w:val="0"/>
                <w:numId w:val="46"/>
              </w:numPr>
              <w:suppressAutoHyphens/>
              <w:autoSpaceDN w:val="0"/>
              <w:spacing w:before="60" w:after="60"/>
              <w:ind w:left="306" w:right="284" w:hanging="284"/>
              <w:jc w:val="both"/>
              <w:textAlignment w:val="baseline"/>
              <w:rPr>
                <w:rFonts w:ascii="Calibri Light" w:eastAsia="Times New Roman" w:hAnsi="Calibri Light" w:cs="Calibri Light"/>
                <w:color w:val="00000A"/>
                <w:kern w:val="3"/>
                <w:sz w:val="24"/>
                <w:szCs w:val="24"/>
                <w:lang w:eastAsia="ar-SA" w:bidi="hi-IN"/>
              </w:rPr>
            </w:pPr>
            <w:r w:rsidRPr="00B801F5">
              <w:rPr>
                <w:rFonts w:ascii="Calibri Light" w:eastAsia="Times New Roman" w:hAnsi="Calibri Light" w:cs="Calibri Light"/>
                <w:color w:val="00000A"/>
                <w:kern w:val="3"/>
                <w:sz w:val="24"/>
                <w:szCs w:val="24"/>
                <w:lang w:eastAsia="ar-SA" w:bidi="hi-IN"/>
              </w:rPr>
              <w:t>Personale Medico di C.O.</w:t>
            </w:r>
          </w:p>
        </w:tc>
        <w:tc>
          <w:tcPr>
            <w:tcW w:w="1987" w:type="dxa"/>
          </w:tcPr>
          <w:p w14:paraId="3245A410" w14:textId="77777777" w:rsidR="00F5265D" w:rsidRPr="00B801F5" w:rsidRDefault="00F5265D" w:rsidP="00C76403">
            <w:pPr>
              <w:widowControl w:val="0"/>
              <w:suppressAutoHyphens/>
              <w:autoSpaceDN w:val="0"/>
              <w:spacing w:before="60" w:after="60"/>
              <w:ind w:right="284"/>
              <w:jc w:val="center"/>
              <w:textAlignment w:val="baseline"/>
              <w:rPr>
                <w:rFonts w:ascii="Calibri Light" w:eastAsia="SimSun" w:hAnsi="Calibri Light" w:cs="Calibri Light"/>
                <w:b/>
                <w:bCs/>
                <w:i/>
                <w:iCs/>
                <w:color w:val="00000A"/>
                <w:kern w:val="3"/>
                <w:sz w:val="20"/>
                <w:szCs w:val="20"/>
                <w:lang w:eastAsia="zh-CN" w:bidi="hi-IN"/>
              </w:rPr>
            </w:pPr>
            <w:r w:rsidRPr="00B801F5">
              <w:rPr>
                <w:rFonts w:ascii="Calibri Light" w:eastAsia="SimSun" w:hAnsi="Calibri Light" w:cs="Calibri Light"/>
                <w:b/>
                <w:bCs/>
                <w:i/>
                <w:iCs/>
                <w:color w:val="00000A"/>
                <w:kern w:val="3"/>
                <w:sz w:val="20"/>
                <w:szCs w:val="20"/>
                <w:lang w:eastAsia="zh-CN" w:bidi="hi-IN"/>
              </w:rPr>
              <w:t>4</w:t>
            </w:r>
          </w:p>
        </w:tc>
      </w:tr>
      <w:tr w:rsidR="00F5265D" w:rsidRPr="00B801F5" w14:paraId="1DEE867E" w14:textId="77777777" w:rsidTr="00F5265D">
        <w:tc>
          <w:tcPr>
            <w:tcW w:w="7085" w:type="dxa"/>
          </w:tcPr>
          <w:p w14:paraId="6F2ADD99" w14:textId="77777777" w:rsidR="00F5265D" w:rsidRPr="00B801F5" w:rsidRDefault="00F5265D" w:rsidP="00C76403">
            <w:pPr>
              <w:widowControl w:val="0"/>
              <w:numPr>
                <w:ilvl w:val="0"/>
                <w:numId w:val="46"/>
              </w:numPr>
              <w:suppressAutoHyphens/>
              <w:autoSpaceDN w:val="0"/>
              <w:spacing w:before="60" w:after="60"/>
              <w:ind w:left="306" w:right="284" w:hanging="284"/>
              <w:jc w:val="both"/>
              <w:textAlignment w:val="baseline"/>
              <w:rPr>
                <w:rFonts w:ascii="Calibri Light" w:eastAsia="Times New Roman" w:hAnsi="Calibri Light" w:cs="Calibri Light"/>
                <w:color w:val="00000A"/>
                <w:kern w:val="3"/>
                <w:sz w:val="24"/>
                <w:szCs w:val="24"/>
                <w:lang w:eastAsia="ar-SA" w:bidi="hi-IN"/>
              </w:rPr>
            </w:pPr>
            <w:r w:rsidRPr="00B801F5">
              <w:rPr>
                <w:rFonts w:ascii="Calibri Light" w:eastAsia="Times New Roman" w:hAnsi="Calibri Light" w:cs="Calibri Light"/>
                <w:color w:val="00000A"/>
                <w:kern w:val="3"/>
                <w:sz w:val="24"/>
                <w:szCs w:val="24"/>
                <w:lang w:eastAsia="ar-SA" w:bidi="hi-IN"/>
              </w:rPr>
              <w:t xml:space="preserve">Personale medico Basi </w:t>
            </w:r>
            <w:proofErr w:type="spellStart"/>
            <w:r w:rsidRPr="00B801F5">
              <w:rPr>
                <w:rFonts w:ascii="Calibri Light" w:eastAsia="Times New Roman" w:hAnsi="Calibri Light" w:cs="Calibri Light"/>
                <w:color w:val="00000A"/>
                <w:kern w:val="3"/>
                <w:sz w:val="24"/>
                <w:szCs w:val="24"/>
                <w:lang w:eastAsia="ar-SA" w:bidi="hi-IN"/>
              </w:rPr>
              <w:t>Hems</w:t>
            </w:r>
            <w:proofErr w:type="spellEnd"/>
            <w:r w:rsidRPr="00B801F5">
              <w:rPr>
                <w:rFonts w:ascii="Calibri Light" w:eastAsia="Times New Roman" w:hAnsi="Calibri Light" w:cs="Calibri Light"/>
                <w:color w:val="00000A"/>
                <w:kern w:val="3"/>
                <w:sz w:val="24"/>
                <w:szCs w:val="24"/>
                <w:lang w:eastAsia="ar-SA" w:bidi="hi-IN"/>
              </w:rPr>
              <w:t xml:space="preserve"> Potenza e Matera (Anestesisti)</w:t>
            </w:r>
          </w:p>
        </w:tc>
        <w:tc>
          <w:tcPr>
            <w:tcW w:w="1987" w:type="dxa"/>
          </w:tcPr>
          <w:p w14:paraId="5A843B94" w14:textId="77777777" w:rsidR="00F5265D" w:rsidRPr="00B801F5" w:rsidRDefault="00F5265D" w:rsidP="00C76403">
            <w:pPr>
              <w:widowControl w:val="0"/>
              <w:suppressAutoHyphens/>
              <w:autoSpaceDN w:val="0"/>
              <w:spacing w:before="60" w:after="60"/>
              <w:ind w:right="284"/>
              <w:jc w:val="center"/>
              <w:textAlignment w:val="baseline"/>
              <w:rPr>
                <w:rFonts w:ascii="Calibri Light" w:eastAsia="SimSun" w:hAnsi="Calibri Light" w:cs="Calibri Light"/>
                <w:b/>
                <w:bCs/>
                <w:i/>
                <w:iCs/>
                <w:color w:val="00000A"/>
                <w:kern w:val="3"/>
                <w:sz w:val="20"/>
                <w:szCs w:val="20"/>
                <w:lang w:eastAsia="zh-CN" w:bidi="hi-IN"/>
              </w:rPr>
            </w:pPr>
            <w:r w:rsidRPr="00B801F5">
              <w:rPr>
                <w:rFonts w:ascii="Calibri Light" w:eastAsia="SimSun" w:hAnsi="Calibri Light" w:cs="Calibri Light"/>
                <w:b/>
                <w:bCs/>
                <w:i/>
                <w:iCs/>
                <w:color w:val="00000A"/>
                <w:kern w:val="3"/>
                <w:sz w:val="20"/>
                <w:szCs w:val="20"/>
                <w:lang w:eastAsia="zh-CN" w:bidi="hi-IN"/>
              </w:rPr>
              <w:t>0</w:t>
            </w:r>
          </w:p>
        </w:tc>
      </w:tr>
      <w:tr w:rsidR="00F5265D" w:rsidRPr="00B801F5" w14:paraId="79720F9C" w14:textId="77777777" w:rsidTr="00F5265D">
        <w:tc>
          <w:tcPr>
            <w:tcW w:w="7085" w:type="dxa"/>
          </w:tcPr>
          <w:p w14:paraId="62AA4E90" w14:textId="77777777" w:rsidR="00F5265D" w:rsidRPr="00B801F5" w:rsidRDefault="00F5265D" w:rsidP="00C76403">
            <w:pPr>
              <w:widowControl w:val="0"/>
              <w:suppressAutoHyphens/>
              <w:autoSpaceDN w:val="0"/>
              <w:spacing w:before="60" w:after="60"/>
              <w:ind w:right="284"/>
              <w:jc w:val="right"/>
              <w:textAlignment w:val="baseline"/>
              <w:rPr>
                <w:rFonts w:ascii="Calibri Light" w:eastAsia="Times New Roman" w:hAnsi="Calibri Light" w:cs="Calibri Light"/>
                <w:b/>
                <w:color w:val="00000A"/>
                <w:kern w:val="3"/>
                <w:sz w:val="24"/>
                <w:szCs w:val="24"/>
                <w:lang w:eastAsia="ar-SA" w:bidi="hi-IN"/>
              </w:rPr>
            </w:pPr>
            <w:r w:rsidRPr="00B801F5">
              <w:rPr>
                <w:rFonts w:ascii="Calibri Light" w:eastAsia="Times New Roman" w:hAnsi="Calibri Light" w:cs="Calibri Light"/>
                <w:b/>
                <w:color w:val="00000A"/>
                <w:kern w:val="3"/>
                <w:sz w:val="24"/>
                <w:szCs w:val="24"/>
                <w:lang w:eastAsia="ar-SA" w:bidi="hi-IN"/>
              </w:rPr>
              <w:t>TOTALE</w:t>
            </w:r>
          </w:p>
        </w:tc>
        <w:tc>
          <w:tcPr>
            <w:tcW w:w="1987" w:type="dxa"/>
          </w:tcPr>
          <w:p w14:paraId="3A94CC65" w14:textId="77777777" w:rsidR="00F5265D" w:rsidRPr="00B801F5" w:rsidRDefault="00F5265D" w:rsidP="00C76403">
            <w:pPr>
              <w:widowControl w:val="0"/>
              <w:suppressAutoHyphens/>
              <w:autoSpaceDN w:val="0"/>
              <w:spacing w:before="60" w:after="60"/>
              <w:ind w:right="284"/>
              <w:jc w:val="center"/>
              <w:textAlignment w:val="baseline"/>
              <w:rPr>
                <w:rFonts w:ascii="Calibri Light" w:eastAsia="SimSun" w:hAnsi="Calibri Light" w:cs="Calibri Light"/>
                <w:b/>
                <w:color w:val="00000A"/>
                <w:kern w:val="3"/>
                <w:sz w:val="24"/>
                <w:szCs w:val="24"/>
                <w:lang w:eastAsia="zh-CN" w:bidi="hi-IN"/>
              </w:rPr>
            </w:pPr>
            <w:r w:rsidRPr="00B801F5">
              <w:rPr>
                <w:rFonts w:ascii="Calibri Light" w:eastAsia="SimSun" w:hAnsi="Calibri Light" w:cs="Calibri Light"/>
                <w:b/>
                <w:color w:val="00000A"/>
                <w:kern w:val="3"/>
                <w:sz w:val="24"/>
                <w:szCs w:val="24"/>
                <w:lang w:eastAsia="zh-CN" w:bidi="hi-IN"/>
              </w:rPr>
              <w:t>36</w:t>
            </w:r>
          </w:p>
        </w:tc>
      </w:tr>
    </w:tbl>
    <w:p w14:paraId="27CDDA78" w14:textId="77777777" w:rsidR="00F5265D" w:rsidRDefault="00F5265D" w:rsidP="00F5265D">
      <w:pPr>
        <w:jc w:val="both"/>
      </w:pPr>
    </w:p>
    <w:p w14:paraId="1F42FEBE" w14:textId="44ED1601" w:rsidR="00F5265D" w:rsidRDefault="00F5265D" w:rsidP="00F5265D">
      <w:pPr>
        <w:jc w:val="both"/>
      </w:pPr>
      <w:r>
        <w:t xml:space="preserve">In merito a ciò si </w:t>
      </w:r>
      <w:r w:rsidR="00D02351">
        <w:t>ricorda</w:t>
      </w:r>
      <w:r>
        <w:t xml:space="preserve"> (</w:t>
      </w:r>
      <w:proofErr w:type="spellStart"/>
      <w:r>
        <w:t>cfr</w:t>
      </w:r>
      <w:proofErr w:type="spellEnd"/>
      <w:r>
        <w:t xml:space="preserve"> paragrafo precedente) che</w:t>
      </w:r>
      <w:r w:rsidRPr="00B801F5">
        <w:t xml:space="preserve"> </w:t>
      </w:r>
      <w:r>
        <w:t xml:space="preserve">l’introduzione </w:t>
      </w:r>
      <w:r w:rsidRPr="00B801F5">
        <w:t>del Ruolo Unico della Medicina Generale con il superamento dello schema dualistico previgente della MMG massimalista dalla Continuità Assistenziale tradizionale</w:t>
      </w:r>
      <w:r>
        <w:t xml:space="preserve"> </w:t>
      </w:r>
      <w:r w:rsidRPr="00D02351">
        <w:rPr>
          <w:u w:val="single"/>
        </w:rPr>
        <w:t>condurrà ad una utilizzazione integrata delle attuali forze in campo capace di garantire, a parità di spesa complessiva, una sostanziale compensazione nello squilibrio esistente tra carenze rilevate nel 118 e gli esuberi presenti nella Continuità Assistenziale</w:t>
      </w:r>
      <w:r>
        <w:t>.</w:t>
      </w:r>
    </w:p>
    <w:p w14:paraId="68338DFF" w14:textId="77777777" w:rsidR="00F5265D" w:rsidRDefault="00F5265D" w:rsidP="00F5265D">
      <w:pPr>
        <w:jc w:val="both"/>
      </w:pPr>
      <w:r>
        <w:t xml:space="preserve">La dotazione di </w:t>
      </w:r>
      <w:r w:rsidRPr="0044117E">
        <w:rPr>
          <w:u w:val="single"/>
        </w:rPr>
        <w:t>personale infermieristico ed autisti</w:t>
      </w:r>
      <w:r>
        <w:t xml:space="preserve"> è la seguente:</w:t>
      </w:r>
    </w:p>
    <w:tbl>
      <w:tblPr>
        <w:tblStyle w:val="Grigliatabella2"/>
        <w:tblpPr w:leftFromText="141" w:rightFromText="141" w:vertAnchor="text" w:horzAnchor="margin" w:tblpXSpec="center" w:tblpY="46"/>
        <w:tblW w:w="6401" w:type="dxa"/>
        <w:tblLook w:val="04A0" w:firstRow="1" w:lastRow="0" w:firstColumn="1" w:lastColumn="0" w:noHBand="0" w:noVBand="1"/>
      </w:tblPr>
      <w:tblGrid>
        <w:gridCol w:w="4326"/>
        <w:gridCol w:w="2075"/>
      </w:tblGrid>
      <w:tr w:rsidR="00F5265D" w:rsidRPr="0044117E" w14:paraId="75FB099E" w14:textId="77777777" w:rsidTr="00C76403">
        <w:trPr>
          <w:trHeight w:val="555"/>
        </w:trPr>
        <w:tc>
          <w:tcPr>
            <w:tcW w:w="4326" w:type="dxa"/>
            <w:vAlign w:val="center"/>
          </w:tcPr>
          <w:p w14:paraId="1CDB5AB6" w14:textId="77777777" w:rsidR="00F5265D" w:rsidRPr="0044117E" w:rsidRDefault="00F5265D" w:rsidP="00C76403">
            <w:pPr>
              <w:widowControl w:val="0"/>
              <w:suppressAutoHyphens/>
              <w:autoSpaceDN w:val="0"/>
              <w:ind w:right="284"/>
              <w:jc w:val="center"/>
              <w:textAlignment w:val="baseline"/>
              <w:rPr>
                <w:rFonts w:ascii="Calibri Light" w:eastAsia="SimSun" w:hAnsi="Calibri Light" w:cs="Calibri Light"/>
                <w:b/>
                <w:color w:val="00000A"/>
                <w:sz w:val="20"/>
                <w:szCs w:val="20"/>
                <w:lang w:eastAsia="zh-CN" w:bidi="hi-IN"/>
              </w:rPr>
            </w:pPr>
            <w:r w:rsidRPr="0044117E">
              <w:rPr>
                <w:rFonts w:ascii="Calibri Light" w:eastAsia="SimSun" w:hAnsi="Calibri Light" w:cs="Calibri Light"/>
                <w:b/>
                <w:color w:val="00000A"/>
                <w:sz w:val="20"/>
                <w:szCs w:val="20"/>
                <w:lang w:eastAsia="zh-CN" w:bidi="hi-IN"/>
              </w:rPr>
              <w:t>DOTAZIONE PERSONALE</w:t>
            </w:r>
          </w:p>
          <w:p w14:paraId="2633C140" w14:textId="77777777" w:rsidR="00F5265D" w:rsidRPr="0044117E" w:rsidRDefault="00F5265D" w:rsidP="00C76403">
            <w:pPr>
              <w:widowControl w:val="0"/>
              <w:suppressAutoHyphens/>
              <w:autoSpaceDN w:val="0"/>
              <w:ind w:right="284"/>
              <w:jc w:val="center"/>
              <w:textAlignment w:val="baseline"/>
              <w:rPr>
                <w:rFonts w:ascii="Calibri Light" w:eastAsia="SimSun" w:hAnsi="Calibri Light" w:cs="Calibri Light"/>
                <w:b/>
                <w:color w:val="00000A"/>
                <w:kern w:val="3"/>
                <w:sz w:val="20"/>
                <w:szCs w:val="20"/>
                <w:lang w:eastAsia="zh-CN" w:bidi="hi-IN"/>
              </w:rPr>
            </w:pPr>
            <w:r w:rsidRPr="0044117E">
              <w:rPr>
                <w:rFonts w:ascii="Calibri Light" w:eastAsia="SimSun" w:hAnsi="Calibri Light" w:cs="Calibri Light"/>
                <w:b/>
                <w:color w:val="00000A"/>
                <w:sz w:val="20"/>
                <w:szCs w:val="20"/>
                <w:lang w:eastAsia="zh-CN" w:bidi="hi-IN"/>
              </w:rPr>
              <w:t>Infermieri e Autisti</w:t>
            </w:r>
          </w:p>
        </w:tc>
        <w:tc>
          <w:tcPr>
            <w:tcW w:w="2075" w:type="dxa"/>
            <w:vAlign w:val="center"/>
          </w:tcPr>
          <w:p w14:paraId="2A897284" w14:textId="77777777" w:rsidR="00F5265D" w:rsidRPr="0044117E" w:rsidRDefault="00F5265D" w:rsidP="00C76403">
            <w:pPr>
              <w:widowControl w:val="0"/>
              <w:suppressAutoHyphens/>
              <w:autoSpaceDN w:val="0"/>
              <w:ind w:right="284"/>
              <w:jc w:val="center"/>
              <w:textAlignment w:val="baseline"/>
              <w:rPr>
                <w:rFonts w:ascii="Calibri Light" w:eastAsia="SimSun" w:hAnsi="Calibri Light" w:cs="Calibri Light"/>
                <w:b/>
                <w:color w:val="00000A"/>
                <w:kern w:val="3"/>
                <w:sz w:val="20"/>
                <w:szCs w:val="20"/>
                <w:lang w:eastAsia="zh-CN" w:bidi="hi-IN"/>
              </w:rPr>
            </w:pPr>
            <w:r w:rsidRPr="0044117E">
              <w:rPr>
                <w:rFonts w:ascii="Calibri Light" w:eastAsia="SimSun" w:hAnsi="Calibri Light" w:cs="Calibri Light"/>
                <w:b/>
                <w:color w:val="00000A"/>
                <w:sz w:val="20"/>
                <w:szCs w:val="20"/>
                <w:lang w:eastAsia="zh-CN" w:bidi="hi-IN"/>
              </w:rPr>
              <w:t>Dotazione attuale</w:t>
            </w:r>
          </w:p>
        </w:tc>
      </w:tr>
      <w:tr w:rsidR="00F5265D" w:rsidRPr="0044117E" w14:paraId="21F9D88F" w14:textId="77777777" w:rsidTr="00C76403">
        <w:trPr>
          <w:trHeight w:val="299"/>
        </w:trPr>
        <w:tc>
          <w:tcPr>
            <w:tcW w:w="4326" w:type="dxa"/>
            <w:vAlign w:val="center"/>
          </w:tcPr>
          <w:p w14:paraId="3AACE02B" w14:textId="77777777" w:rsidR="00F5265D" w:rsidRPr="0044117E" w:rsidRDefault="00F5265D" w:rsidP="00C76403">
            <w:pPr>
              <w:widowControl w:val="0"/>
              <w:numPr>
                <w:ilvl w:val="0"/>
                <w:numId w:val="46"/>
              </w:numPr>
              <w:suppressAutoHyphens/>
              <w:autoSpaceDN w:val="0"/>
              <w:spacing w:before="60" w:after="60"/>
              <w:ind w:left="306" w:right="284" w:hanging="284"/>
              <w:jc w:val="both"/>
              <w:textAlignment w:val="baseline"/>
              <w:rPr>
                <w:rFonts w:ascii="Calibri Light" w:eastAsia="SimSun" w:hAnsi="Calibri Light" w:cs="Calibri Light"/>
                <w:color w:val="00000A"/>
                <w:kern w:val="3"/>
                <w:sz w:val="20"/>
                <w:szCs w:val="20"/>
                <w:lang w:eastAsia="zh-CN" w:bidi="hi-IN"/>
              </w:rPr>
            </w:pPr>
            <w:r w:rsidRPr="0044117E">
              <w:rPr>
                <w:rFonts w:ascii="Calibri Light" w:eastAsia="SimSun" w:hAnsi="Calibri Light" w:cs="Calibri Light"/>
                <w:color w:val="00000A"/>
                <w:kern w:val="3"/>
                <w:sz w:val="20"/>
                <w:szCs w:val="20"/>
                <w:lang w:eastAsia="zh-CN" w:bidi="hi-IN"/>
              </w:rPr>
              <w:t>Infermieri</w:t>
            </w:r>
          </w:p>
        </w:tc>
        <w:tc>
          <w:tcPr>
            <w:tcW w:w="2075" w:type="dxa"/>
          </w:tcPr>
          <w:p w14:paraId="1520AF82" w14:textId="77777777" w:rsidR="00F5265D" w:rsidRPr="0044117E" w:rsidRDefault="00F5265D" w:rsidP="00C76403">
            <w:pPr>
              <w:widowControl w:val="0"/>
              <w:suppressAutoHyphens/>
              <w:autoSpaceDN w:val="0"/>
              <w:spacing w:before="60" w:after="60"/>
              <w:ind w:right="284"/>
              <w:jc w:val="center"/>
              <w:textAlignment w:val="baseline"/>
              <w:rPr>
                <w:rFonts w:ascii="Calibri Light" w:eastAsia="SimSun" w:hAnsi="Calibri Light" w:cs="Calibri Light"/>
                <w:b/>
                <w:bCs/>
                <w:iCs/>
                <w:color w:val="00000A"/>
                <w:kern w:val="3"/>
                <w:sz w:val="20"/>
                <w:szCs w:val="20"/>
                <w:lang w:eastAsia="zh-CN" w:bidi="hi-IN"/>
              </w:rPr>
            </w:pPr>
            <w:r w:rsidRPr="0044117E">
              <w:rPr>
                <w:rFonts w:ascii="Calibri Light" w:eastAsia="SimSun" w:hAnsi="Calibri Light" w:cs="Calibri Light"/>
                <w:b/>
                <w:bCs/>
                <w:iCs/>
                <w:color w:val="00000A"/>
                <w:kern w:val="3"/>
                <w:sz w:val="20"/>
                <w:szCs w:val="20"/>
                <w:lang w:eastAsia="zh-CN" w:bidi="hi-IN"/>
              </w:rPr>
              <w:t xml:space="preserve">262 </w:t>
            </w:r>
          </w:p>
        </w:tc>
      </w:tr>
      <w:tr w:rsidR="00F5265D" w:rsidRPr="0044117E" w14:paraId="304B7632" w14:textId="77777777" w:rsidTr="008D2597">
        <w:trPr>
          <w:trHeight w:val="315"/>
        </w:trPr>
        <w:tc>
          <w:tcPr>
            <w:tcW w:w="4326" w:type="dxa"/>
            <w:vAlign w:val="center"/>
          </w:tcPr>
          <w:p w14:paraId="08F5A09F" w14:textId="77777777" w:rsidR="00F5265D" w:rsidRPr="0044117E" w:rsidRDefault="00F5265D" w:rsidP="00C76403">
            <w:pPr>
              <w:widowControl w:val="0"/>
              <w:numPr>
                <w:ilvl w:val="0"/>
                <w:numId w:val="46"/>
              </w:numPr>
              <w:suppressAutoHyphens/>
              <w:autoSpaceDN w:val="0"/>
              <w:spacing w:before="60" w:after="60"/>
              <w:ind w:left="306" w:right="284" w:hanging="284"/>
              <w:textAlignment w:val="baseline"/>
              <w:rPr>
                <w:rFonts w:ascii="Calibri Light" w:eastAsia="SimSun" w:hAnsi="Calibri Light" w:cs="Calibri Light"/>
                <w:color w:val="00000A"/>
                <w:kern w:val="3"/>
                <w:sz w:val="20"/>
                <w:szCs w:val="20"/>
                <w:lang w:eastAsia="zh-CN" w:bidi="hi-IN"/>
              </w:rPr>
            </w:pPr>
            <w:r w:rsidRPr="0044117E">
              <w:rPr>
                <w:rFonts w:ascii="Calibri Light" w:eastAsia="SimSun" w:hAnsi="Calibri Light" w:cs="Calibri Light"/>
                <w:color w:val="00000A"/>
                <w:kern w:val="3"/>
                <w:sz w:val="20"/>
                <w:szCs w:val="20"/>
                <w:lang w:eastAsia="zh-CN" w:bidi="hi-IN"/>
              </w:rPr>
              <w:t>Autisti</w:t>
            </w:r>
          </w:p>
        </w:tc>
        <w:tc>
          <w:tcPr>
            <w:tcW w:w="2075" w:type="dxa"/>
          </w:tcPr>
          <w:p w14:paraId="521FAFDA" w14:textId="77777777" w:rsidR="00F5265D" w:rsidRPr="0044117E" w:rsidRDefault="00F5265D" w:rsidP="00C76403">
            <w:pPr>
              <w:widowControl w:val="0"/>
              <w:suppressAutoHyphens/>
              <w:autoSpaceDN w:val="0"/>
              <w:spacing w:before="60" w:after="60"/>
              <w:ind w:right="284"/>
              <w:jc w:val="center"/>
              <w:textAlignment w:val="baseline"/>
              <w:rPr>
                <w:rFonts w:ascii="Calibri Light" w:eastAsia="SimSun" w:hAnsi="Calibri Light" w:cs="Calibri Light"/>
                <w:b/>
                <w:bCs/>
                <w:iCs/>
                <w:color w:val="00000A"/>
                <w:kern w:val="3"/>
                <w:sz w:val="20"/>
                <w:szCs w:val="20"/>
                <w:lang w:eastAsia="zh-CN" w:bidi="hi-IN"/>
              </w:rPr>
            </w:pPr>
            <w:r w:rsidRPr="0044117E">
              <w:rPr>
                <w:rFonts w:ascii="Calibri Light" w:eastAsia="SimSun" w:hAnsi="Calibri Light" w:cs="Calibri Light"/>
                <w:b/>
                <w:bCs/>
                <w:iCs/>
                <w:color w:val="00000A"/>
                <w:kern w:val="3"/>
                <w:sz w:val="20"/>
                <w:szCs w:val="20"/>
                <w:lang w:eastAsia="zh-CN" w:bidi="hi-IN"/>
              </w:rPr>
              <w:t>201</w:t>
            </w:r>
          </w:p>
          <w:p w14:paraId="24AA31F6" w14:textId="77777777" w:rsidR="00F5265D" w:rsidRPr="0044117E" w:rsidRDefault="00F5265D" w:rsidP="00C76403">
            <w:pPr>
              <w:widowControl w:val="0"/>
              <w:suppressAutoHyphens/>
              <w:autoSpaceDN w:val="0"/>
              <w:spacing w:before="60" w:after="60"/>
              <w:ind w:right="284"/>
              <w:jc w:val="center"/>
              <w:textAlignment w:val="baseline"/>
              <w:rPr>
                <w:rFonts w:ascii="Calibri Light" w:eastAsia="SimSun" w:hAnsi="Calibri Light" w:cs="Calibri Light"/>
                <w:b/>
                <w:bCs/>
                <w:iCs/>
                <w:color w:val="00000A"/>
                <w:kern w:val="3"/>
                <w:sz w:val="20"/>
                <w:szCs w:val="20"/>
                <w:lang w:eastAsia="zh-CN" w:bidi="hi-IN"/>
              </w:rPr>
            </w:pPr>
            <w:r w:rsidRPr="0044117E">
              <w:rPr>
                <w:rFonts w:ascii="Calibri Light" w:eastAsia="SimSun" w:hAnsi="Calibri Light" w:cs="Calibri Light"/>
                <w:b/>
                <w:bCs/>
                <w:iCs/>
                <w:color w:val="00000A"/>
                <w:kern w:val="3"/>
                <w:sz w:val="20"/>
                <w:szCs w:val="20"/>
                <w:lang w:eastAsia="zh-CN" w:bidi="hi-IN"/>
              </w:rPr>
              <w:t>(di cui 22 Interinali)</w:t>
            </w:r>
          </w:p>
        </w:tc>
      </w:tr>
    </w:tbl>
    <w:p w14:paraId="5A022F1C" w14:textId="77777777" w:rsidR="00F5265D" w:rsidRDefault="00F5265D" w:rsidP="00F5265D">
      <w:pPr>
        <w:jc w:val="both"/>
      </w:pPr>
    </w:p>
    <w:p w14:paraId="20D621EF" w14:textId="77777777" w:rsidR="00F5265D" w:rsidRDefault="00F5265D" w:rsidP="00F5265D">
      <w:pPr>
        <w:jc w:val="both"/>
      </w:pPr>
    </w:p>
    <w:p w14:paraId="51E0A2B8" w14:textId="77777777" w:rsidR="00F5265D" w:rsidRDefault="00F5265D" w:rsidP="00F5265D">
      <w:pPr>
        <w:jc w:val="both"/>
      </w:pPr>
    </w:p>
    <w:p w14:paraId="31CF3EF7" w14:textId="77777777" w:rsidR="00F5265D" w:rsidRDefault="00F5265D" w:rsidP="00F5265D">
      <w:pPr>
        <w:jc w:val="both"/>
      </w:pPr>
    </w:p>
    <w:p w14:paraId="76AF6690" w14:textId="77777777" w:rsidR="00F5265D" w:rsidRDefault="00F5265D" w:rsidP="00F5265D">
      <w:pPr>
        <w:jc w:val="both"/>
      </w:pPr>
    </w:p>
    <w:p w14:paraId="033890F0" w14:textId="77777777" w:rsidR="007F7EEE" w:rsidRDefault="00F5265D" w:rsidP="00F5265D">
      <w:pPr>
        <w:jc w:val="both"/>
        <w:rPr>
          <w:color w:val="FF0000"/>
        </w:rPr>
      </w:pPr>
      <w:r>
        <w:t>Il potenziamento dell’organico infermieristico del DEU 118 è previsto tra le priorità nel Piano dei Fabbisogni del Personale 2025-2027 dell’ASP, approvato con DGR n762/2024.</w:t>
      </w:r>
      <w:r>
        <w:rPr>
          <w:color w:val="FF0000"/>
        </w:rPr>
        <w:t xml:space="preserve"> </w:t>
      </w:r>
    </w:p>
    <w:p w14:paraId="75E01690" w14:textId="6A6B95CF" w:rsidR="007F7EEE" w:rsidRDefault="007F7EEE" w:rsidP="007F7EEE">
      <w:pPr>
        <w:pStyle w:val="Default"/>
        <w:rPr>
          <w:sz w:val="23"/>
          <w:szCs w:val="23"/>
        </w:rPr>
      </w:pPr>
      <w:r>
        <w:rPr>
          <w:sz w:val="23"/>
          <w:szCs w:val="23"/>
        </w:rPr>
        <w:t xml:space="preserve">Il Totale Parco Mezzi DEU118 si compone </w:t>
      </w:r>
      <w:r w:rsidR="00F5789F">
        <w:rPr>
          <w:sz w:val="23"/>
          <w:szCs w:val="23"/>
        </w:rPr>
        <w:t xml:space="preserve">59 mezzi di cui </w:t>
      </w:r>
      <w:r w:rsidRPr="00F5789F">
        <w:rPr>
          <w:b/>
          <w:sz w:val="23"/>
          <w:szCs w:val="23"/>
        </w:rPr>
        <w:t>57 (Ambulanze</w:t>
      </w:r>
      <w:r>
        <w:rPr>
          <w:sz w:val="23"/>
          <w:szCs w:val="23"/>
        </w:rPr>
        <w:t xml:space="preserve">) acquistate con la precedente gara e </w:t>
      </w:r>
      <w:r w:rsidRPr="00F5789F">
        <w:rPr>
          <w:b/>
          <w:sz w:val="23"/>
          <w:szCs w:val="23"/>
        </w:rPr>
        <w:t>2 Ambulanze</w:t>
      </w:r>
      <w:r>
        <w:rPr>
          <w:sz w:val="23"/>
          <w:szCs w:val="23"/>
        </w:rPr>
        <w:t xml:space="preserve"> acquistate con i fondi Invitalia (Covid19). </w:t>
      </w:r>
    </w:p>
    <w:p w14:paraId="3C5F1A57" w14:textId="77777777" w:rsidR="008D2597" w:rsidRDefault="008D2597" w:rsidP="007F7EEE">
      <w:pPr>
        <w:pStyle w:val="Default"/>
        <w:rPr>
          <w:sz w:val="23"/>
          <w:szCs w:val="23"/>
        </w:rPr>
      </w:pPr>
    </w:p>
    <w:p w14:paraId="30CE8089" w14:textId="77777777" w:rsidR="007F7EEE" w:rsidRDefault="007F7EEE" w:rsidP="007F7EEE">
      <w:pPr>
        <w:pStyle w:val="Default"/>
        <w:rPr>
          <w:sz w:val="23"/>
          <w:szCs w:val="23"/>
        </w:rPr>
      </w:pPr>
      <w:r>
        <w:rPr>
          <w:sz w:val="23"/>
          <w:szCs w:val="23"/>
        </w:rPr>
        <w:lastRenderedPageBreak/>
        <w:t xml:space="preserve">Di queste </w:t>
      </w:r>
      <w:r>
        <w:rPr>
          <w:b/>
          <w:bCs/>
          <w:sz w:val="23"/>
          <w:szCs w:val="23"/>
        </w:rPr>
        <w:t xml:space="preserve">40 </w:t>
      </w:r>
      <w:r>
        <w:rPr>
          <w:sz w:val="23"/>
          <w:szCs w:val="23"/>
        </w:rPr>
        <w:t xml:space="preserve">sono dislocate operativamente nelle sedi che si elencano di seguito. </w:t>
      </w:r>
    </w:p>
    <w:p w14:paraId="7D25C2BC" w14:textId="34EB0A92" w:rsidR="007F7EEE" w:rsidRDefault="007F7EEE" w:rsidP="007F7EEE">
      <w:pPr>
        <w:pStyle w:val="Default"/>
        <w:rPr>
          <w:sz w:val="23"/>
          <w:szCs w:val="23"/>
        </w:rPr>
      </w:pPr>
      <w:r>
        <w:rPr>
          <w:sz w:val="23"/>
          <w:szCs w:val="23"/>
        </w:rPr>
        <w:t xml:space="preserve">Le altre </w:t>
      </w:r>
      <w:r>
        <w:rPr>
          <w:b/>
          <w:bCs/>
          <w:sz w:val="23"/>
          <w:szCs w:val="23"/>
        </w:rPr>
        <w:t xml:space="preserve">19 </w:t>
      </w:r>
      <w:r>
        <w:rPr>
          <w:sz w:val="23"/>
          <w:szCs w:val="23"/>
        </w:rPr>
        <w:t xml:space="preserve">sono utilizzate come muletti facendole ruotare per le varie esigenze. </w:t>
      </w:r>
    </w:p>
    <w:p w14:paraId="380147D3" w14:textId="77777777" w:rsidR="00F5789F" w:rsidRDefault="00F5789F" w:rsidP="007F7EEE">
      <w:pPr>
        <w:pStyle w:val="Default"/>
        <w:rPr>
          <w:sz w:val="23"/>
          <w:szCs w:val="23"/>
        </w:rPr>
      </w:pPr>
    </w:p>
    <w:p w14:paraId="4ABE56C3" w14:textId="7A68BB70" w:rsidR="007F7EEE" w:rsidRDefault="00F5789F" w:rsidP="00F5789F">
      <w:pPr>
        <w:jc w:val="center"/>
        <w:rPr>
          <w:b/>
          <w:sz w:val="24"/>
          <w:szCs w:val="24"/>
          <w:u w:val="single"/>
        </w:rPr>
      </w:pPr>
      <w:r>
        <w:rPr>
          <w:noProof/>
          <w:lang w:eastAsia="it-IT"/>
        </w:rPr>
        <w:drawing>
          <wp:inline distT="0" distB="0" distL="0" distR="0" wp14:anchorId="1EEBC35B" wp14:editId="55B243B6">
            <wp:extent cx="3228975" cy="4324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8975" cy="4324350"/>
                    </a:xfrm>
                    <a:prstGeom prst="rect">
                      <a:avLst/>
                    </a:prstGeom>
                  </pic:spPr>
                </pic:pic>
              </a:graphicData>
            </a:graphic>
          </wp:inline>
        </w:drawing>
      </w:r>
    </w:p>
    <w:p w14:paraId="0054ED96" w14:textId="2F312C2B" w:rsidR="0084645F" w:rsidRPr="007E351F" w:rsidRDefault="007E351F" w:rsidP="007E351F">
      <w:pPr>
        <w:pStyle w:val="Default"/>
        <w:jc w:val="both"/>
        <w:rPr>
          <w:sz w:val="23"/>
          <w:szCs w:val="23"/>
        </w:rPr>
      </w:pPr>
      <w:r w:rsidRPr="007E351F">
        <w:rPr>
          <w:sz w:val="23"/>
          <w:szCs w:val="23"/>
        </w:rPr>
        <w:t>Con riferimento all’ammodernamento delle ambulanze utilizzate per il servizio di emergenza urgenza, la Direzione Generale Salute e Politiche della persona</w:t>
      </w:r>
      <w:r>
        <w:rPr>
          <w:sz w:val="23"/>
          <w:szCs w:val="23"/>
        </w:rPr>
        <w:t>,</w:t>
      </w:r>
      <w:r w:rsidRPr="007E351F">
        <w:rPr>
          <w:sz w:val="23"/>
          <w:szCs w:val="23"/>
        </w:rPr>
        <w:t xml:space="preserve"> di concerto con la Direzione strategica dell’ASP</w:t>
      </w:r>
      <w:r>
        <w:rPr>
          <w:sz w:val="23"/>
          <w:szCs w:val="23"/>
        </w:rPr>
        <w:t>,</w:t>
      </w:r>
      <w:r w:rsidRPr="007E351F">
        <w:rPr>
          <w:sz w:val="23"/>
          <w:szCs w:val="23"/>
        </w:rPr>
        <w:t xml:space="preserve"> ha avviato le procedure per l’acquisizione</w:t>
      </w:r>
      <w:r>
        <w:rPr>
          <w:sz w:val="23"/>
          <w:szCs w:val="23"/>
        </w:rPr>
        <w:t>,</w:t>
      </w:r>
      <w:r w:rsidRPr="007E351F">
        <w:rPr>
          <w:sz w:val="23"/>
          <w:szCs w:val="23"/>
        </w:rPr>
        <w:t xml:space="preserve"> median</w:t>
      </w:r>
      <w:r>
        <w:rPr>
          <w:sz w:val="23"/>
          <w:szCs w:val="23"/>
        </w:rPr>
        <w:t>te</w:t>
      </w:r>
      <w:r w:rsidRPr="007E351F">
        <w:rPr>
          <w:sz w:val="23"/>
          <w:szCs w:val="23"/>
        </w:rPr>
        <w:t xml:space="preserve"> noleggio a lungo termine</w:t>
      </w:r>
      <w:r>
        <w:rPr>
          <w:sz w:val="23"/>
          <w:szCs w:val="23"/>
        </w:rPr>
        <w:t>,</w:t>
      </w:r>
      <w:r w:rsidRPr="007E351F">
        <w:rPr>
          <w:sz w:val="23"/>
          <w:szCs w:val="23"/>
        </w:rPr>
        <w:t xml:space="preserve"> per il rinnovo completo parco mezzi a disposizione del Servizio 118</w:t>
      </w:r>
      <w:r>
        <w:rPr>
          <w:sz w:val="23"/>
          <w:szCs w:val="23"/>
        </w:rPr>
        <w:t>.</w:t>
      </w:r>
    </w:p>
    <w:p w14:paraId="3B7EFC29" w14:textId="77777777" w:rsidR="007E351F" w:rsidRDefault="007E351F" w:rsidP="0084645F">
      <w:pPr>
        <w:pStyle w:val="Default"/>
      </w:pPr>
    </w:p>
    <w:p w14:paraId="552B45FE" w14:textId="06273703" w:rsidR="0084645F" w:rsidRDefault="0084645F" w:rsidP="0084645F">
      <w:pPr>
        <w:pStyle w:val="Default"/>
        <w:jc w:val="both"/>
        <w:rPr>
          <w:sz w:val="23"/>
          <w:szCs w:val="23"/>
        </w:rPr>
      </w:pPr>
      <w:r>
        <w:rPr>
          <w:sz w:val="23"/>
          <w:szCs w:val="23"/>
        </w:rPr>
        <w:t xml:space="preserve">Inoltre Vi sono </w:t>
      </w:r>
      <w:r>
        <w:rPr>
          <w:b/>
          <w:bCs/>
          <w:sz w:val="23"/>
          <w:szCs w:val="23"/>
        </w:rPr>
        <w:t xml:space="preserve">Due Elicotteri </w:t>
      </w:r>
      <w:r>
        <w:rPr>
          <w:sz w:val="23"/>
          <w:szCs w:val="23"/>
        </w:rPr>
        <w:t xml:space="preserve">che garantiscono il servizio h24 uno a Potenza </w:t>
      </w:r>
      <w:proofErr w:type="spellStart"/>
      <w:r>
        <w:rPr>
          <w:sz w:val="23"/>
          <w:szCs w:val="23"/>
        </w:rPr>
        <w:t>Sky</w:t>
      </w:r>
      <w:proofErr w:type="spellEnd"/>
      <w:r>
        <w:rPr>
          <w:sz w:val="23"/>
          <w:szCs w:val="23"/>
        </w:rPr>
        <w:t xml:space="preserve"> Team1 e uno a Matera </w:t>
      </w:r>
      <w:proofErr w:type="spellStart"/>
      <w:r>
        <w:rPr>
          <w:sz w:val="23"/>
          <w:szCs w:val="23"/>
        </w:rPr>
        <w:t>Sky</w:t>
      </w:r>
      <w:proofErr w:type="spellEnd"/>
      <w:r>
        <w:rPr>
          <w:sz w:val="23"/>
          <w:szCs w:val="23"/>
        </w:rPr>
        <w:t xml:space="preserve"> Team2 in servizio h12. </w:t>
      </w:r>
    </w:p>
    <w:p w14:paraId="48823FD1" w14:textId="36C788DF" w:rsidR="008D2597" w:rsidRDefault="0084645F" w:rsidP="0084645F">
      <w:pPr>
        <w:jc w:val="both"/>
        <w:rPr>
          <w:sz w:val="23"/>
          <w:szCs w:val="23"/>
        </w:rPr>
      </w:pPr>
      <w:r>
        <w:rPr>
          <w:sz w:val="23"/>
          <w:szCs w:val="23"/>
        </w:rPr>
        <w:t>Gli elicotteri vengono forniti da una azienda che si è aggiudicata la gara di appalto regionale appena conclusa.</w:t>
      </w:r>
    </w:p>
    <w:p w14:paraId="5F8A61C7" w14:textId="159C889B" w:rsidR="0084645F" w:rsidRDefault="0084645F" w:rsidP="0084645F">
      <w:pPr>
        <w:jc w:val="both"/>
        <w:rPr>
          <w:sz w:val="23"/>
          <w:szCs w:val="23"/>
        </w:rPr>
      </w:pPr>
      <w:r>
        <w:rPr>
          <w:sz w:val="23"/>
          <w:szCs w:val="23"/>
        </w:rPr>
        <w:t>C</w:t>
      </w:r>
      <w:r w:rsidRPr="0084645F">
        <w:rPr>
          <w:sz w:val="23"/>
          <w:szCs w:val="23"/>
        </w:rPr>
        <w:t xml:space="preserve">on fondi </w:t>
      </w:r>
      <w:bookmarkStart w:id="5" w:name="_Hlk190612527"/>
      <w:r w:rsidRPr="0084645F">
        <w:rPr>
          <w:sz w:val="23"/>
          <w:szCs w:val="23"/>
        </w:rPr>
        <w:t xml:space="preserve">PO-FESR 2021-2027 </w:t>
      </w:r>
      <w:bookmarkEnd w:id="5"/>
      <w:r w:rsidRPr="0084645F">
        <w:rPr>
          <w:sz w:val="23"/>
          <w:szCs w:val="23"/>
        </w:rPr>
        <w:t xml:space="preserve">è stata finanziata l’Elisuperficie di Melfi per un importo di </w:t>
      </w:r>
      <w:bookmarkStart w:id="6" w:name="_Hlk190613118"/>
      <w:r w:rsidRPr="0084645F">
        <w:rPr>
          <w:sz w:val="23"/>
          <w:szCs w:val="23"/>
        </w:rPr>
        <w:t>€.</w:t>
      </w:r>
      <w:bookmarkEnd w:id="6"/>
      <w:r w:rsidRPr="0084645F">
        <w:rPr>
          <w:sz w:val="23"/>
          <w:szCs w:val="23"/>
        </w:rPr>
        <w:t>1.452.341,12 e sono in corso le procedure di aggiornamento tecnico-contabile del progetto già predisposto e che sorgerà nell’area ospedaliera</w:t>
      </w:r>
      <w:r>
        <w:rPr>
          <w:sz w:val="23"/>
          <w:szCs w:val="23"/>
        </w:rPr>
        <w:t>.</w:t>
      </w:r>
    </w:p>
    <w:p w14:paraId="410E389C" w14:textId="77777777" w:rsidR="0084645F" w:rsidRPr="0084645F" w:rsidRDefault="0084645F" w:rsidP="0084645F">
      <w:pPr>
        <w:jc w:val="both"/>
        <w:rPr>
          <w:sz w:val="23"/>
          <w:szCs w:val="23"/>
        </w:rPr>
      </w:pPr>
    </w:p>
    <w:p w14:paraId="52D1419C" w14:textId="15ADD2F2" w:rsidR="00C60EB9" w:rsidRDefault="004E1BF9" w:rsidP="00F15FD7">
      <w:pPr>
        <w:jc w:val="both"/>
        <w:rPr>
          <w:b/>
          <w:sz w:val="24"/>
          <w:szCs w:val="24"/>
          <w:u w:val="single"/>
        </w:rPr>
      </w:pPr>
      <w:r w:rsidRPr="00C60EB9">
        <w:rPr>
          <w:b/>
          <w:sz w:val="24"/>
          <w:szCs w:val="24"/>
          <w:u w:val="single"/>
        </w:rPr>
        <w:t xml:space="preserve">2 - </w:t>
      </w:r>
      <w:r w:rsidR="00192FA2" w:rsidRPr="00C60EB9">
        <w:rPr>
          <w:b/>
          <w:sz w:val="24"/>
          <w:szCs w:val="24"/>
          <w:u w:val="single"/>
        </w:rPr>
        <w:t>Politiche</w:t>
      </w:r>
      <w:r w:rsidR="00192FA2" w:rsidRPr="00C60EB9">
        <w:rPr>
          <w:rFonts w:ascii="Palatino Linotype" w:hAnsi="Palatino Linotype"/>
          <w:b/>
          <w:sz w:val="24"/>
          <w:szCs w:val="24"/>
        </w:rPr>
        <w:t xml:space="preserve"> </w:t>
      </w:r>
      <w:r w:rsidR="00192FA2" w:rsidRPr="00C60EB9">
        <w:rPr>
          <w:b/>
          <w:sz w:val="24"/>
          <w:szCs w:val="24"/>
          <w:u w:val="single"/>
        </w:rPr>
        <w:t>del personale del SSR</w:t>
      </w:r>
    </w:p>
    <w:p w14:paraId="002DB4A8" w14:textId="5F0EB8B8" w:rsidR="00F15FD7" w:rsidRPr="00C60EB9" w:rsidRDefault="00F15FD7" w:rsidP="00F15FD7">
      <w:pPr>
        <w:jc w:val="both"/>
        <w:rPr>
          <w:b/>
          <w:sz w:val="24"/>
          <w:szCs w:val="24"/>
          <w:u w:val="single"/>
        </w:rPr>
      </w:pPr>
      <w:r w:rsidRPr="00F15FD7">
        <w:t xml:space="preserve">Anche in materia di politiche del personale dipendente per il SSR, la Regione Basilicata non si è fatta cogliere impreparata, infatti, i principali atti propedeutici, finalizzati al reclutamento di personale dipendente per il triennio 2025/2027, sono stati tutti adottati entro l’anno 2024. </w:t>
      </w:r>
    </w:p>
    <w:p w14:paraId="18427849" w14:textId="11F5D935" w:rsidR="00F15FD7" w:rsidRDefault="00F15FD7" w:rsidP="00F15FD7">
      <w:pPr>
        <w:jc w:val="both"/>
      </w:pPr>
      <w:r w:rsidRPr="00F15FD7">
        <w:t xml:space="preserve">Con la </w:t>
      </w:r>
      <w:r w:rsidRPr="00F15FD7">
        <w:rPr>
          <w:b/>
          <w:bCs/>
        </w:rPr>
        <w:t xml:space="preserve">DGR n. 521 del 06.09.2024 </w:t>
      </w:r>
      <w:r w:rsidRPr="00F15FD7">
        <w:t xml:space="preserve">è stato rideterminato il limite di spesa per il reclutamento di personale e ripartito per ciascuna Azienda del SSR; i limiti fissati hanno consentito adeguata capienza per il reclutamento </w:t>
      </w:r>
      <w:r w:rsidRPr="00F15FD7">
        <w:rPr>
          <w:b/>
          <w:bCs/>
        </w:rPr>
        <w:t xml:space="preserve">di circa </w:t>
      </w:r>
      <w:r w:rsidRPr="00CE17EE">
        <w:rPr>
          <w:b/>
          <w:bCs/>
          <w:u w:val="single"/>
        </w:rPr>
        <w:t>950 unità</w:t>
      </w:r>
      <w:r w:rsidRPr="00F15FD7">
        <w:rPr>
          <w:b/>
          <w:bCs/>
        </w:rPr>
        <w:t xml:space="preserve"> complessive di personale dipendente </w:t>
      </w:r>
      <w:r w:rsidRPr="00F15FD7">
        <w:t>distribuite nella misura del 50% circa tra dirigenza e comparto, così come stabilito con la successiva approvazione contestuale dei Piani Triennali dei Fabbisogni di Personale</w:t>
      </w:r>
      <w:r>
        <w:t>.</w:t>
      </w:r>
    </w:p>
    <w:p w14:paraId="081C7FFE" w14:textId="587B696B" w:rsidR="00F15FD7" w:rsidRDefault="00F15FD7" w:rsidP="00F15FD7">
      <w:pPr>
        <w:jc w:val="both"/>
      </w:pPr>
      <w:r>
        <w:lastRenderedPageBreak/>
        <w:t>I</w:t>
      </w:r>
      <w:r w:rsidRPr="00F15FD7">
        <w:t xml:space="preserve">l nuovo modello organizzativo per il potenziamento dell’assistenza territoriale, </w:t>
      </w:r>
      <w:r>
        <w:t xml:space="preserve">delineato dalla disciplina </w:t>
      </w:r>
      <w:r w:rsidR="00FA4ED4">
        <w:t>nazionale</w:t>
      </w:r>
      <w:r w:rsidRPr="00F15FD7">
        <w:t xml:space="preserve">, può vantare </w:t>
      </w:r>
      <w:r w:rsidRPr="00F15FD7">
        <w:rPr>
          <w:b/>
          <w:bCs/>
        </w:rPr>
        <w:t>appositi finanziamenti per il reclutamento</w:t>
      </w:r>
      <w:r w:rsidRPr="00F15FD7">
        <w:t xml:space="preserve"> di ulteriore personale da utilizzare nelle strutture previste nel POR-PNRR: 6 Centrali Operative Territoriali (COT), 19 Case di Comunità (</w:t>
      </w:r>
      <w:proofErr w:type="spellStart"/>
      <w:r w:rsidRPr="00F15FD7">
        <w:t>CdC</w:t>
      </w:r>
      <w:proofErr w:type="spellEnd"/>
      <w:r w:rsidRPr="00F15FD7">
        <w:t>), 6 Unità di Continuità Assistenziale (UCA) e 5 Ospedali di Comunità (</w:t>
      </w:r>
      <w:proofErr w:type="spellStart"/>
      <w:r w:rsidRPr="00F15FD7">
        <w:t>OdC</w:t>
      </w:r>
      <w:proofErr w:type="spellEnd"/>
      <w:r w:rsidRPr="00F15FD7">
        <w:t>).</w:t>
      </w:r>
    </w:p>
    <w:p w14:paraId="4727060E" w14:textId="3D64BEC8" w:rsidR="00F15FD7" w:rsidRPr="00F15FD7" w:rsidRDefault="00085499" w:rsidP="00F15FD7">
      <w:pPr>
        <w:jc w:val="both"/>
      </w:pPr>
      <w:r w:rsidRPr="00085499">
        <w:rPr>
          <w:b/>
          <w:bCs/>
        </w:rPr>
        <w:t>Il finanziamento complessivo, dal 2022 al 2026, ammonta a circa 27 M€, oltre ad una quota stabile a regime disponibile dal 2027 in poi e pari a circa 12,5 M€.</w:t>
      </w:r>
    </w:p>
    <w:p w14:paraId="5A66C54C" w14:textId="5B986202" w:rsidR="00085499" w:rsidRPr="00085499" w:rsidRDefault="00085499" w:rsidP="00085499">
      <w:pPr>
        <w:jc w:val="both"/>
      </w:pPr>
      <w:r w:rsidRPr="00085499">
        <w:t xml:space="preserve">Anche </w:t>
      </w:r>
      <w:r w:rsidR="00FA4ED4">
        <w:t>in questo campo</w:t>
      </w:r>
      <w:r w:rsidRPr="00085499">
        <w:t xml:space="preserve"> la Regione ha adottato gli atti amministrativi necessari a rendere esecutive le previsioni di reclutamento di personale di cui alla DGR n. 948/2022 “provvedimento generale di programmazione dell’Assistenza territoriale ai sensi del DM 77/2022”, con il quale sono stati stabiliti i percorsi per il potenziamento dell’Assistenza Territoriale in Basilicata, tra cui: la “modifica dell’atto aziendale” vigente delle due Aziende Sanitarie della Regione, allo scopo di renderli coerenti con le disposizioni del DM 77/2022 e il successivo relativo “adeguamento dei Piani assunzionali”. </w:t>
      </w:r>
    </w:p>
    <w:p w14:paraId="1E727867" w14:textId="33ABDA83" w:rsidR="00F15FD7" w:rsidRPr="00085499" w:rsidRDefault="00085499" w:rsidP="00085499">
      <w:pPr>
        <w:jc w:val="both"/>
      </w:pPr>
      <w:r w:rsidRPr="00085499">
        <w:t xml:space="preserve">Considerata la straordinarietà assunzionale, consentita dalla legge anche in deroga ai limiti di spesa assunzionali, è stato valutato di adottare i previsti </w:t>
      </w:r>
      <w:r w:rsidRPr="00085499">
        <w:rPr>
          <w:b/>
          <w:bCs/>
        </w:rPr>
        <w:t>Atti aziendali, a “stralcio”</w:t>
      </w:r>
      <w:r w:rsidRPr="00085499">
        <w:t xml:space="preserve"> di quelli generali, con le DGR n. 823 e 824 del 30.12.2024 rispettivamente riferite all’Azienda Sanitaria di Matera e all’Azienda Sanitaria di Potenza, quali documenti di sostanziale aggiornamento e integrazione agli Atti Aziendali vigenti, per la sola parte relativa all’Assistenza Territoriale.</w:t>
      </w:r>
    </w:p>
    <w:p w14:paraId="2676F4DC" w14:textId="77777777" w:rsidR="00FA4ED4" w:rsidRDefault="00F10036" w:rsidP="00F10036">
      <w:pPr>
        <w:jc w:val="both"/>
      </w:pPr>
      <w:r w:rsidRPr="00F10036">
        <w:t>In modo analogo il fabbisogno di personale definito in appositi PTFP “a stralcio” di quelli già approvati a fine 2024, secondo gli standard definiti nel DM 77/2022 e nella conseguente DGR 948/2022</w:t>
      </w:r>
      <w:r>
        <w:t xml:space="preserve"> di sua </w:t>
      </w:r>
      <w:r w:rsidR="0075319E">
        <w:t>applicazione</w:t>
      </w:r>
      <w:r w:rsidRPr="00F10036">
        <w:t>, saranno oggetto di apposita separata e dedicata approvazione da parte della Giunta regionale già nei prossimi giorni</w:t>
      </w:r>
      <w:r w:rsidR="00FA4ED4">
        <w:t>,</w:t>
      </w:r>
    </w:p>
    <w:p w14:paraId="37AC7A94" w14:textId="54F4DE56" w:rsidR="00F10036" w:rsidRPr="00F10036" w:rsidRDefault="00FA4ED4" w:rsidP="00F10036">
      <w:pPr>
        <w:jc w:val="both"/>
      </w:pPr>
      <w:r>
        <w:rPr>
          <w:b/>
          <w:bCs/>
        </w:rPr>
        <w:t>I</w:t>
      </w:r>
      <w:r w:rsidR="00F10036" w:rsidRPr="00F10036">
        <w:rPr>
          <w:b/>
          <w:bCs/>
        </w:rPr>
        <w:t xml:space="preserve">l contingente di personale riguarderà Medici, Infermieri, Fisioterapisti, Assistenti sanitari, Assistenti Sociali, Operatori Socio Sanitaria, </w:t>
      </w:r>
      <w:proofErr w:type="spellStart"/>
      <w:r w:rsidR="00F10036" w:rsidRPr="00F10036">
        <w:rPr>
          <w:b/>
          <w:bCs/>
        </w:rPr>
        <w:t>ecc</w:t>
      </w:r>
      <w:proofErr w:type="spellEnd"/>
      <w:r w:rsidR="00F10036" w:rsidRPr="00F10036">
        <w:rPr>
          <w:b/>
          <w:bCs/>
        </w:rPr>
        <w:t xml:space="preserve">) per complessive circa </w:t>
      </w:r>
      <w:r w:rsidR="00F10036" w:rsidRPr="00CE17EE">
        <w:rPr>
          <w:b/>
          <w:bCs/>
          <w:u w:val="single"/>
        </w:rPr>
        <w:t>400 unità</w:t>
      </w:r>
      <w:r w:rsidR="00F10036" w:rsidRPr="00F10036">
        <w:rPr>
          <w:b/>
          <w:bCs/>
        </w:rPr>
        <w:t xml:space="preserve"> a fronte dei predetti 27 M€ da utilizzarsi fino al 2026.</w:t>
      </w:r>
      <w:r w:rsidR="00F10036" w:rsidRPr="00F10036">
        <w:t xml:space="preserve"> </w:t>
      </w:r>
    </w:p>
    <w:p w14:paraId="7080A99C" w14:textId="6EE75AE0" w:rsidR="00085499" w:rsidRPr="00F10036" w:rsidRDefault="00F10036" w:rsidP="00F10036">
      <w:pPr>
        <w:jc w:val="both"/>
      </w:pPr>
      <w:r w:rsidRPr="00F10036">
        <w:rPr>
          <w:b/>
          <w:bCs/>
        </w:rPr>
        <w:t>Oltre il 50% del contingente di personale da assumere è riferito ai c.d. Infermieri di Famiglia e/o di Comunità</w:t>
      </w:r>
      <w:r w:rsidRPr="00F10036">
        <w:t>, che rappresentano, a loro volta, un innesto fondamentale ed indispensabile per lo sviluppo e il potenziamento dei servizi territoriali, anche di assistenza domiciliare, finalizzato a salvaguardare lo stato di salute dei cittadini</w:t>
      </w:r>
    </w:p>
    <w:p w14:paraId="7D1CDA8E" w14:textId="77777777" w:rsidR="002854FB" w:rsidRDefault="002854FB" w:rsidP="00085499">
      <w:pPr>
        <w:jc w:val="both"/>
        <w:rPr>
          <w:rFonts w:ascii="Palatino Linotype" w:hAnsi="Palatino Linotype"/>
          <w:b/>
          <w:highlight w:val="yellow"/>
        </w:rPr>
      </w:pPr>
    </w:p>
    <w:p w14:paraId="5569D779" w14:textId="17B8422E" w:rsidR="00714DFB" w:rsidRPr="00C60EB9" w:rsidRDefault="004E1BF9" w:rsidP="00714DFB">
      <w:pPr>
        <w:jc w:val="both"/>
        <w:rPr>
          <w:b/>
          <w:sz w:val="28"/>
          <w:szCs w:val="28"/>
          <w:u w:val="single"/>
        </w:rPr>
      </w:pPr>
      <w:r w:rsidRPr="00C60EB9">
        <w:rPr>
          <w:b/>
          <w:sz w:val="28"/>
          <w:szCs w:val="28"/>
          <w:u w:val="single"/>
        </w:rPr>
        <w:t xml:space="preserve">3 - </w:t>
      </w:r>
      <w:r w:rsidR="00714DFB" w:rsidRPr="00C60EB9">
        <w:rPr>
          <w:b/>
          <w:sz w:val="28"/>
          <w:szCs w:val="28"/>
          <w:u w:val="single"/>
        </w:rPr>
        <w:t xml:space="preserve">Formazione </w:t>
      </w:r>
    </w:p>
    <w:p w14:paraId="722E03A4" w14:textId="078D4FDB" w:rsidR="00714DFB" w:rsidRDefault="00714DFB" w:rsidP="00714DFB">
      <w:pPr>
        <w:jc w:val="both"/>
      </w:pPr>
      <w:r w:rsidRPr="00205CF7">
        <w:t>Nell’area della formaz</w:t>
      </w:r>
      <w:r>
        <w:t xml:space="preserve">ione si richiama l’attenzione su un’azione innovativa che consiste nella redazione del “Piano di qualificazione delle competenze del personale sanitario- anno 2024-2026”, articolato nella forma di </w:t>
      </w:r>
      <w:r w:rsidRPr="00714DFB">
        <w:rPr>
          <w:b/>
          <w:bCs/>
        </w:rPr>
        <w:t>catalogo dell'offerta formativa</w:t>
      </w:r>
      <w:r>
        <w:t>, per offrire al personale sanitario l’opportunità di costruire percorsi di aggiornamento personalizzato e flessibile. Nel mese di luglio sono stati coinvolti tutti gli uffici competenti delle quattro Aziende del SSR che hanno definito i fabbisogni formativi anche alla luce della riorganizzazione della medicina territoriale indicata nel DM 77. I moduli formativi indicati dalle Aziende sono stati riclassificati sulla base dei seguenti elementi:</w:t>
      </w:r>
    </w:p>
    <w:p w14:paraId="662B95B6" w14:textId="77777777" w:rsidR="00714DFB" w:rsidRDefault="00714DFB" w:rsidP="00714DFB">
      <w:pPr>
        <w:jc w:val="both"/>
      </w:pPr>
      <w:r>
        <w:t>a) Eliminazione delle duplicazioni di percorsi (es. BLSD) prevedendo un unico modulo replicato nelle diverse Aziende;</w:t>
      </w:r>
    </w:p>
    <w:p w14:paraId="02CAACCD" w14:textId="77777777" w:rsidR="00714DFB" w:rsidRDefault="00714DFB" w:rsidP="00714DFB">
      <w:pPr>
        <w:jc w:val="both"/>
      </w:pPr>
      <w:r>
        <w:t>b) Armonizzazione delle proposte pervenute con la possibilità di corsi base e corsi specifici;</w:t>
      </w:r>
    </w:p>
    <w:p w14:paraId="587C2D59" w14:textId="1368F646" w:rsidR="00714DFB" w:rsidRPr="00205CF7" w:rsidRDefault="00714DFB" w:rsidP="00714DFB">
      <w:pPr>
        <w:jc w:val="both"/>
      </w:pPr>
      <w:r>
        <w:t>c) Combinazione di fonti finanziarie (PR, PNES, PNRR; etc.) con specifica demarcazione delle stesse.</w:t>
      </w:r>
    </w:p>
    <w:p w14:paraId="0D7B6CA7" w14:textId="41AB0EEE" w:rsidR="00192FA2" w:rsidRPr="001436EA" w:rsidRDefault="00FA4ED4">
      <w:pPr>
        <w:jc w:val="both"/>
        <w:rPr>
          <w:highlight w:val="yellow"/>
        </w:rPr>
      </w:pPr>
      <w:r>
        <w:t>La</w:t>
      </w:r>
      <w:r w:rsidR="00C34A9A" w:rsidRPr="00C34A9A">
        <w:t xml:space="preserve"> </w:t>
      </w:r>
      <w:r w:rsidR="00C34A9A" w:rsidRPr="00B20C01">
        <w:t>copertura finanziaria individuata</w:t>
      </w:r>
      <w:r w:rsidR="00C34A9A" w:rsidRPr="00C34A9A">
        <w:t xml:space="preserve"> </w:t>
      </w:r>
      <w:r>
        <w:t>è nel</w:t>
      </w:r>
      <w:r w:rsidR="00C34A9A" w:rsidRPr="00C34A9A">
        <w:t xml:space="preserve"> Programma Regionale Basilicata FESR FSE+ 2021-2027, che, nell’ambito dell’Obiettivo specifico ESO4.11 Azione 8.4.11.C. “Qualità”, prevede azioni di </w:t>
      </w:r>
      <w:r w:rsidR="00C34A9A" w:rsidRPr="00C34A9A">
        <w:lastRenderedPageBreak/>
        <w:t xml:space="preserve">manutenzione delle competenze, principalmente per il personale sanitario su tematiche collegate alle nuove multi-vulnerabilità, con particolare focus su quelle </w:t>
      </w:r>
      <w:r w:rsidRPr="00C34A9A">
        <w:t>sociosanitarie</w:t>
      </w:r>
      <w:r w:rsidR="00C34A9A" w:rsidRPr="00C34A9A">
        <w:t xml:space="preserve"> e sociali</w:t>
      </w:r>
      <w:r w:rsidR="00C34A9A">
        <w:t>.</w:t>
      </w:r>
    </w:p>
    <w:p w14:paraId="67EC1836" w14:textId="47473101" w:rsidR="00C34A9A" w:rsidRDefault="00C34A9A" w:rsidP="00C34A9A">
      <w:pPr>
        <w:jc w:val="both"/>
      </w:pPr>
      <w:r>
        <w:t xml:space="preserve">Si tratta </w:t>
      </w:r>
      <w:r w:rsidR="00B20C01">
        <w:t>dello sviluppo</w:t>
      </w:r>
      <w:r>
        <w:t xml:space="preserve"> di un’azione già avviata in precedenza ed attualmente in corso, </w:t>
      </w:r>
      <w:r w:rsidRPr="00C34A9A">
        <w:t>in collaborazione con le competenti Aziende Sanitarie di Potenza e di Matera, l’OMCEO e l’Agenas</w:t>
      </w:r>
      <w:r>
        <w:t xml:space="preserve">, ossia </w:t>
      </w:r>
      <w:r w:rsidR="00E16B69">
        <w:t xml:space="preserve">quella </w:t>
      </w:r>
      <w:r>
        <w:t xml:space="preserve">del “Piano di qualificazione delle competenze del personale sanitario- anno 2023”), articolato nei seguenti quattro moduli formativi rivolti al personale delle Aziende del SSR e della DG </w:t>
      </w:r>
      <w:r w:rsidR="00E16B69">
        <w:t xml:space="preserve">competente in materia di salute </w:t>
      </w:r>
      <w:r>
        <w:t>della Regione Basilicata:</w:t>
      </w:r>
    </w:p>
    <w:p w14:paraId="5E907CE7" w14:textId="77777777" w:rsidR="00C34A9A" w:rsidRDefault="00C34A9A" w:rsidP="00C34A9A">
      <w:pPr>
        <w:jc w:val="both"/>
      </w:pPr>
      <w:r>
        <w:t>a) Percorso “La prevenzione e la promozione della salute nelle varie fasi della vita”, strettamente connesso al “Piano Regionale della Prevenzione 2021-2025” (condizione abilitante del PR);</w:t>
      </w:r>
    </w:p>
    <w:p w14:paraId="790EF89E" w14:textId="77777777" w:rsidR="00C34A9A" w:rsidRDefault="00C34A9A" w:rsidP="00C34A9A">
      <w:pPr>
        <w:jc w:val="both"/>
      </w:pPr>
      <w:r>
        <w:t>b) Percorso “Tutor in Medicina Generale”;</w:t>
      </w:r>
    </w:p>
    <w:p w14:paraId="07010488" w14:textId="77777777" w:rsidR="00C34A9A" w:rsidRDefault="00C34A9A" w:rsidP="00C34A9A">
      <w:pPr>
        <w:jc w:val="both"/>
      </w:pPr>
      <w:r>
        <w:t>c) Percorso “Valutatori base e post base certificato CEPAS o AICQ SICE”;</w:t>
      </w:r>
    </w:p>
    <w:p w14:paraId="1BA02FA1" w14:textId="77777777" w:rsidR="00C34A9A" w:rsidRDefault="00C34A9A" w:rsidP="00C34A9A">
      <w:pPr>
        <w:jc w:val="both"/>
      </w:pPr>
      <w:r>
        <w:t>d) Percorso “Supporto alla sanità digitale”.</w:t>
      </w:r>
    </w:p>
    <w:p w14:paraId="6DE10752" w14:textId="112FD11A" w:rsidR="00243CAE" w:rsidRDefault="00243CAE" w:rsidP="00243CAE">
      <w:pPr>
        <w:jc w:val="both"/>
      </w:pPr>
      <w:r>
        <w:t xml:space="preserve">A tali percorsi sono interessati 180 unità di personale medico, sanitario e del comparto dell’ASP, ASM, AOR San Carlo e IRCCS CROB </w:t>
      </w:r>
      <w:r w:rsidR="00B44175">
        <w:t xml:space="preserve">nonché personale </w:t>
      </w:r>
      <w:r>
        <w:t>appartenente alla Direzione Generale per la Salute e le Politiche della Persona.</w:t>
      </w:r>
    </w:p>
    <w:p w14:paraId="6B4FEF6E" w14:textId="29E268F3" w:rsidR="00C34A9A" w:rsidRDefault="00C34A9A" w:rsidP="00C34A9A">
      <w:pPr>
        <w:jc w:val="both"/>
      </w:pPr>
      <w:r>
        <w:t xml:space="preserve">L’intuizione, portata avanti con tenacia dall’Assessorato, di utilizzare i fondi europei per </w:t>
      </w:r>
      <w:r w:rsidR="00B20C01">
        <w:t xml:space="preserve">la realizzazione di </w:t>
      </w:r>
      <w:r w:rsidR="00B20C01" w:rsidRPr="00B20C01">
        <w:t>eventi formativi aggiuntivi a quelli obbligatori ai fini EC</w:t>
      </w:r>
      <w:r w:rsidR="00B20C01">
        <w:t>M, è guardata con attenzione non solo dagli organismi europei, ma anche dalle altre regioni, quale best practice esportabile con successo in altri contesti regionali.</w:t>
      </w:r>
    </w:p>
    <w:p w14:paraId="0E471B45" w14:textId="7627A08C" w:rsidR="00243CAE" w:rsidRDefault="00B20C01" w:rsidP="00243CAE">
      <w:pPr>
        <w:jc w:val="both"/>
      </w:pPr>
      <w:r>
        <w:t xml:space="preserve">L’azione del catalogo dell’offerta formativa sarà finanziata per Euro </w:t>
      </w:r>
      <w:r w:rsidRPr="00B20C01">
        <w:t>1.500.000 su</w:t>
      </w:r>
      <w:r>
        <w:t>l</w:t>
      </w:r>
      <w:r w:rsidRPr="00B20C01">
        <w:t xml:space="preserve"> programma regionale </w:t>
      </w:r>
      <w:r w:rsidR="00E16B69" w:rsidRPr="00B20C01">
        <w:t>FSE</w:t>
      </w:r>
      <w:r w:rsidRPr="00B20C01">
        <w:t xml:space="preserve">+ 2021-2027 </w:t>
      </w:r>
      <w:proofErr w:type="gramStart"/>
      <w:r w:rsidRPr="00B20C01">
        <w:t>e</w:t>
      </w:r>
      <w:r>
        <w:t>d</w:t>
      </w:r>
      <w:proofErr w:type="gramEnd"/>
      <w:r>
        <w:t xml:space="preserve"> </w:t>
      </w:r>
      <w:r w:rsidR="00E16B69">
        <w:t xml:space="preserve">per </w:t>
      </w:r>
      <w:r>
        <w:t>€</w:t>
      </w:r>
      <w:r w:rsidRPr="00B20C01">
        <w:t xml:space="preserve"> 139.100</w:t>
      </w:r>
      <w:r>
        <w:t xml:space="preserve">, </w:t>
      </w:r>
      <w:r w:rsidRPr="00B20C01">
        <w:t>su</w:t>
      </w:r>
      <w:r>
        <w:t xml:space="preserve">l </w:t>
      </w:r>
      <w:r w:rsidRPr="00B20C01">
        <w:t>programma nazionale equità nella salute 2021-2027</w:t>
      </w:r>
      <w:r>
        <w:t xml:space="preserve">. A tale stanziamento vanno aggiunti Euro </w:t>
      </w:r>
      <w:r w:rsidRPr="00B20C01">
        <w:t>650.000 per i 4 corsi già attivati</w:t>
      </w:r>
      <w:r>
        <w:t>, per un totale di € 2.150.000</w:t>
      </w:r>
      <w:r w:rsidR="00243CAE">
        <w:t xml:space="preserve"> </w:t>
      </w:r>
      <w:r>
        <w:t xml:space="preserve">sul programma regionale </w:t>
      </w:r>
      <w:proofErr w:type="spellStart"/>
      <w:r w:rsidR="00243CAE" w:rsidRPr="00243CAE">
        <w:t>fse</w:t>
      </w:r>
      <w:proofErr w:type="spellEnd"/>
      <w:r w:rsidR="00243CAE" w:rsidRPr="00243CAE">
        <w:t>+ 2021-2027</w:t>
      </w:r>
      <w:r w:rsidR="00243CAE">
        <w:t xml:space="preserve"> ed € 139.100</w:t>
      </w:r>
      <w:r w:rsidR="00243CAE" w:rsidRPr="00243CAE">
        <w:t xml:space="preserve"> </w:t>
      </w:r>
      <w:r w:rsidR="00243CAE">
        <w:t>sul programma nazionale equità nella salute 2021-2027.</w:t>
      </w:r>
    </w:p>
    <w:p w14:paraId="69470268" w14:textId="3E537849" w:rsidR="00D02351" w:rsidRPr="007F7EEE" w:rsidRDefault="008B7117" w:rsidP="00243CAE">
      <w:pPr>
        <w:jc w:val="both"/>
        <w:rPr>
          <w:i/>
          <w:sz w:val="28"/>
          <w:szCs w:val="28"/>
          <w:u w:val="single"/>
        </w:rPr>
      </w:pPr>
      <w:r>
        <w:rPr>
          <w:i/>
          <w:sz w:val="28"/>
          <w:szCs w:val="28"/>
          <w:u w:val="single"/>
        </w:rPr>
        <w:t xml:space="preserve">Collaborazione con UNIBAS, </w:t>
      </w:r>
      <w:r w:rsidR="00D02351" w:rsidRPr="007F7EEE">
        <w:rPr>
          <w:i/>
          <w:sz w:val="28"/>
          <w:szCs w:val="28"/>
          <w:u w:val="single"/>
        </w:rPr>
        <w:t>Università Cattolica Sacro Cuore di Roma</w:t>
      </w:r>
      <w:r w:rsidR="007F7EEE" w:rsidRPr="007F7EEE">
        <w:rPr>
          <w:i/>
          <w:sz w:val="28"/>
          <w:szCs w:val="28"/>
          <w:u w:val="single"/>
        </w:rPr>
        <w:t>,</w:t>
      </w:r>
      <w:r w:rsidR="00D02351" w:rsidRPr="007F7EEE">
        <w:rPr>
          <w:i/>
          <w:sz w:val="28"/>
          <w:szCs w:val="28"/>
          <w:u w:val="single"/>
        </w:rPr>
        <w:t xml:space="preserve"> Università degli Studi “Federico II” di Napoli</w:t>
      </w:r>
    </w:p>
    <w:p w14:paraId="61212C9B" w14:textId="073F0314" w:rsidR="00D00E90" w:rsidRDefault="00B44175" w:rsidP="00B20C01">
      <w:pPr>
        <w:jc w:val="both"/>
      </w:pPr>
      <w:r>
        <w:t>Sul fronte della formazione</w:t>
      </w:r>
      <w:r w:rsidR="00E16B69">
        <w:t>,</w:t>
      </w:r>
      <w:r>
        <w:t xml:space="preserve"> </w:t>
      </w:r>
      <w:r w:rsidR="00CE17EE">
        <w:t xml:space="preserve">inoltre, </w:t>
      </w:r>
      <w:r>
        <w:t>va ricordato il rinnovo p</w:t>
      </w:r>
      <w:r w:rsidRPr="00B44175">
        <w:t>er altri tre anni</w:t>
      </w:r>
      <w:r w:rsidR="003A3D63">
        <w:t xml:space="preserve"> de</w:t>
      </w:r>
      <w:r w:rsidRPr="00B44175">
        <w:t>l Protocollo di Intesa tra la Regione Basilicata e l’Università Cattolica Sacro Cuore di Roma per l’espletamento dei Corsi di laurea delle professioni sanitarie. L’accordo, che rafforza ulteriormente la collaborazione tra le due istituzioni, ha come obiettivo quello di rispondere alla crescente domanda di professionisti altamente qualificati nel settore sanitario (personale infermieristico, tecnico sanitario e della riabilitazione) e di migliorare la qualità dei servizi offerti alla popolazione lucana, incentivando i giovani laureati a rimanere in Basilicata</w:t>
      </w:r>
      <w:r w:rsidR="003A3D63">
        <w:t xml:space="preserve">. </w:t>
      </w:r>
    </w:p>
    <w:p w14:paraId="2286C4B5" w14:textId="33710AFE" w:rsidR="00B20C01" w:rsidRDefault="001E26CF" w:rsidP="00B20C01">
      <w:pPr>
        <w:jc w:val="both"/>
      </w:pPr>
      <w:r>
        <w:t>I</w:t>
      </w:r>
      <w:r w:rsidR="00D00E90" w:rsidRPr="00D00E90">
        <w:t xml:space="preserve">l rinnovo del Protocollo di Intesa si inserisce come valido strumento di sostegno al percorso di consolidamento delle forme di collaborazione tra la Regione e l’Università degli Studi della </w:t>
      </w:r>
      <w:r w:rsidR="00657674" w:rsidRPr="00D00E90">
        <w:t>Basilicata,</w:t>
      </w:r>
      <w:r w:rsidR="00D00E90">
        <w:t xml:space="preserve"> presso la quale è attivo il corso di laurea in medicina e chirurgia, giunto ormai al quarto anno accademico. In tal senso le forme di collaborazione con l’Università Cattolica</w:t>
      </w:r>
      <w:r w:rsidR="00D00E90" w:rsidRPr="00D00E90">
        <w:t>, in prospettiva, dovranno evolversi sia nell’attivazione delle Scuole di Specializzazione, sia nell’istituzione di ulteriori corsi di laurea per profili professionali sanitari.</w:t>
      </w:r>
      <w:r w:rsidR="003A3D63">
        <w:t xml:space="preserve"> </w:t>
      </w:r>
    </w:p>
    <w:p w14:paraId="33EDEDFF" w14:textId="4A17B5F1" w:rsidR="00D00E90" w:rsidRDefault="006641D3" w:rsidP="00B20C01">
      <w:pPr>
        <w:jc w:val="both"/>
      </w:pPr>
      <w:r>
        <w:t>A proposito del corso di laurea in Medicina e Chirurgia presso l’Unibas, si ribadisce che nell’</w:t>
      </w:r>
      <w:r w:rsidRPr="006641D3">
        <w:t>attuazione dell’Accordo di Programma che ha istituito il corso di Laurea in Medicina e Chirurgia</w:t>
      </w:r>
      <w:r>
        <w:t>,</w:t>
      </w:r>
      <w:r w:rsidRPr="006641D3">
        <w:t xml:space="preserve"> </w:t>
      </w:r>
      <w:r w:rsidR="00657674">
        <w:t>del</w:t>
      </w:r>
      <w:r w:rsidRPr="006641D3">
        <w:t xml:space="preserve"> Piano dodicennale </w:t>
      </w:r>
      <w:r w:rsidR="00657674" w:rsidRPr="00657674">
        <w:t xml:space="preserve">2025-2036, approvato dal Consiglio regionale a dicembre, che prevede un impegno finanziario </w:t>
      </w:r>
      <w:r w:rsidR="00657674">
        <w:t xml:space="preserve">a favore di Unibas </w:t>
      </w:r>
      <w:r w:rsidR="00657674" w:rsidRPr="00657674">
        <w:t xml:space="preserve">di </w:t>
      </w:r>
      <w:r w:rsidR="00657674" w:rsidRPr="00D02351">
        <w:rPr>
          <w:b/>
        </w:rPr>
        <w:t>14 milioni di euro all’anno fino al 2036</w:t>
      </w:r>
      <w:r w:rsidRPr="006641D3">
        <w:t xml:space="preserve">, </w:t>
      </w:r>
      <w:r w:rsidR="00657674">
        <w:t xml:space="preserve">nonché </w:t>
      </w:r>
      <w:r w:rsidRPr="006641D3">
        <w:t>del Protocollo di Intesa tra Regione e Unibas per disciplinare la collaborazione tra i due enti</w:t>
      </w:r>
      <w:r>
        <w:t xml:space="preserve"> </w:t>
      </w:r>
      <w:r w:rsidRPr="006641D3">
        <w:t>per lo svolgimento delle attività integrate di didattica, ricerca ed assistenza,</w:t>
      </w:r>
      <w:r>
        <w:t xml:space="preserve"> occorre coniugare </w:t>
      </w:r>
      <w:r>
        <w:lastRenderedPageBreak/>
        <w:t xml:space="preserve">sapientemente la </w:t>
      </w:r>
      <w:r w:rsidRPr="006641D3">
        <w:t>tutela della salute della collettività, alla migliore formazione</w:t>
      </w:r>
      <w:r>
        <w:t xml:space="preserve"> ed </w:t>
      </w:r>
      <w:r w:rsidRPr="006641D3">
        <w:t>allo sviluppo della ricerca biomedica e sanitaria</w:t>
      </w:r>
      <w:r>
        <w:t>.</w:t>
      </w:r>
    </w:p>
    <w:p w14:paraId="21D62AB3" w14:textId="13178998" w:rsidR="004E1BF9" w:rsidRPr="00003D7C" w:rsidRDefault="00657674" w:rsidP="00B20C01">
      <w:pPr>
        <w:jc w:val="both"/>
        <w:rPr>
          <w:b/>
          <w:u w:val="single"/>
        </w:rPr>
      </w:pPr>
      <w:r>
        <w:t xml:space="preserve">Il governo regionale </w:t>
      </w:r>
      <w:r w:rsidRPr="00657674">
        <w:t xml:space="preserve">ha come obiettivo il rilancio del sistema Salute in Basilicata, </w:t>
      </w:r>
      <w:r>
        <w:t xml:space="preserve">attraverso </w:t>
      </w:r>
      <w:r w:rsidRPr="00657674">
        <w:t>un cambio di paradigma</w:t>
      </w:r>
      <w:r>
        <w:t>,</w:t>
      </w:r>
      <w:r w:rsidRPr="00657674">
        <w:t xml:space="preserve"> che possa consentire al mondo della formazione e ricerca ed a quello dell’assistenza sanitaria di entrare in simbiosi con le </w:t>
      </w:r>
      <w:r w:rsidR="001E26CF">
        <w:t>attese</w:t>
      </w:r>
      <w:r w:rsidRPr="00657674">
        <w:t xml:space="preserve"> positive ricadute sul servizio offerto alla popolazione lucana</w:t>
      </w:r>
      <w:r>
        <w:t>.</w:t>
      </w:r>
      <w:r w:rsidR="00CE17EE">
        <w:t xml:space="preserve"> In tale ottica sono stati intensificati i contatti tra il Sistema Sanitario Regionale, l’UNIBAS e l’Università degli Studi “Federico II” di Napoli per l’istituzione </w:t>
      </w:r>
      <w:r w:rsidR="003255B8">
        <w:t xml:space="preserve">in Basilicata </w:t>
      </w:r>
      <w:r w:rsidR="00CE17EE">
        <w:t xml:space="preserve">delle prime </w:t>
      </w:r>
      <w:r w:rsidR="00CE17EE" w:rsidRPr="00003D7C">
        <w:rPr>
          <w:b/>
          <w:u w:val="single"/>
        </w:rPr>
        <w:t xml:space="preserve">Scuole di Specializzazione post </w:t>
      </w:r>
      <w:proofErr w:type="spellStart"/>
      <w:r w:rsidR="00CE17EE" w:rsidRPr="00003D7C">
        <w:rPr>
          <w:b/>
          <w:u w:val="single"/>
        </w:rPr>
        <w:t>lauream</w:t>
      </w:r>
      <w:proofErr w:type="spellEnd"/>
      <w:r w:rsidR="00CE17EE" w:rsidRPr="00003D7C">
        <w:rPr>
          <w:b/>
          <w:u w:val="single"/>
        </w:rPr>
        <w:t xml:space="preserve"> in Medicina</w:t>
      </w:r>
      <w:r w:rsidR="003255B8" w:rsidRPr="00003D7C">
        <w:rPr>
          <w:b/>
          <w:u w:val="single"/>
        </w:rPr>
        <w:t xml:space="preserve"> (verosimilmente a partire dall’anno accademico 2026/2027).</w:t>
      </w:r>
    </w:p>
    <w:p w14:paraId="62DE9237" w14:textId="3B191FE7" w:rsidR="008F32AB" w:rsidRPr="005B62E6" w:rsidRDefault="004E1BF9" w:rsidP="005B62E6">
      <w:r>
        <w:br w:type="page"/>
      </w:r>
      <w:r w:rsidR="008F32AB" w:rsidRPr="006B65FE">
        <w:rPr>
          <w:b/>
          <w:bCs/>
          <w:u w:val="single"/>
        </w:rPr>
        <w:lastRenderedPageBreak/>
        <w:t>LISTE D’ATTESA</w:t>
      </w:r>
    </w:p>
    <w:p w14:paraId="1933CA58" w14:textId="668D7A37" w:rsidR="00052E2E" w:rsidRPr="00052E2E" w:rsidRDefault="00052E2E" w:rsidP="00523BF0">
      <w:pPr>
        <w:spacing w:after="0"/>
        <w:jc w:val="both"/>
        <w:rPr>
          <w:b/>
          <w:kern w:val="0"/>
          <w:u w:val="single"/>
          <w14:ligatures w14:val="none"/>
        </w:rPr>
      </w:pPr>
      <w:r w:rsidRPr="00052E2E">
        <w:rPr>
          <w:kern w:val="0"/>
          <w14:ligatures w14:val="none"/>
        </w:rPr>
        <w:t xml:space="preserve">Data la necessità e l’urgenza di dare completa attuazione </w:t>
      </w:r>
      <w:r w:rsidR="00E16B69" w:rsidRPr="00052E2E">
        <w:rPr>
          <w:kern w:val="0"/>
          <w14:ligatures w14:val="none"/>
        </w:rPr>
        <w:t>alla Legge</w:t>
      </w:r>
      <w:r w:rsidRPr="00052E2E">
        <w:rPr>
          <w:kern w:val="0"/>
          <w14:ligatures w14:val="none"/>
        </w:rPr>
        <w:t xml:space="preserve"> n. 107 del 29 luglio 2024 di conversione del D.L. 73/2024 recante misure urgenti per la riduzione dei tempi delle liste di attesa delle prestazioni sanitarie, </w:t>
      </w:r>
      <w:r w:rsidRPr="00052E2E">
        <w:rPr>
          <w:b/>
          <w:kern w:val="0"/>
          <w14:ligatures w14:val="none"/>
        </w:rPr>
        <w:t>l’Unità centrale di gestione dell’assistenza sanitaria e dei tempi e delle liste di attesa</w:t>
      </w:r>
      <w:r w:rsidRPr="00052E2E">
        <w:rPr>
          <w:kern w:val="0"/>
          <w14:ligatures w14:val="none"/>
        </w:rPr>
        <w:t>, nominata con D.G.R.  n. 577 del 26/09/2024, ai sensi dell’art.</w:t>
      </w:r>
      <w:r w:rsidR="005E7FA6">
        <w:rPr>
          <w:kern w:val="0"/>
          <w14:ligatures w14:val="none"/>
        </w:rPr>
        <w:t xml:space="preserve"> </w:t>
      </w:r>
      <w:r w:rsidRPr="00052E2E">
        <w:rPr>
          <w:kern w:val="0"/>
          <w14:ligatures w14:val="none"/>
        </w:rPr>
        <w:t xml:space="preserve">2 c.5 della Legge suddetta, ha proceduto all’individuazione del RUAS </w:t>
      </w:r>
      <w:r w:rsidRPr="00052E2E">
        <w:rPr>
          <w:b/>
          <w:kern w:val="0"/>
          <w:u w:val="single"/>
          <w14:ligatures w14:val="none"/>
        </w:rPr>
        <w:t>e</w:t>
      </w:r>
      <w:r w:rsidR="00441C0D">
        <w:rPr>
          <w:b/>
          <w:kern w:val="0"/>
          <w:u w:val="single"/>
          <w14:ligatures w14:val="none"/>
        </w:rPr>
        <w:t>d</w:t>
      </w:r>
      <w:r w:rsidRPr="00052E2E">
        <w:rPr>
          <w:b/>
          <w:kern w:val="0"/>
          <w:u w:val="single"/>
          <w14:ligatures w14:val="none"/>
        </w:rPr>
        <w:t xml:space="preserve"> a dare avvio ai lavori per la predisposizione del Piano regionale sulle liste di attesa.</w:t>
      </w:r>
    </w:p>
    <w:p w14:paraId="72E641FF" w14:textId="77777777" w:rsidR="00052E2E" w:rsidRPr="00052E2E" w:rsidRDefault="00052E2E" w:rsidP="00523BF0">
      <w:pPr>
        <w:spacing w:after="0"/>
        <w:jc w:val="both"/>
        <w:rPr>
          <w:kern w:val="0"/>
          <w14:ligatures w14:val="none"/>
        </w:rPr>
      </w:pPr>
      <w:r w:rsidRPr="00052E2E">
        <w:rPr>
          <w:b/>
          <w:kern w:val="0"/>
          <w:u w:val="single"/>
          <w14:ligatures w14:val="none"/>
        </w:rPr>
        <w:t xml:space="preserve">Questo piano, valevole per le attività da svolgersi nell’anno 2025, </w:t>
      </w:r>
      <w:r w:rsidRPr="00052E2E">
        <w:rPr>
          <w:kern w:val="0"/>
          <w14:ligatures w14:val="none"/>
        </w:rPr>
        <w:t>come prevede la legge,</w:t>
      </w:r>
      <w:r w:rsidRPr="00052E2E">
        <w:rPr>
          <w:b/>
          <w:kern w:val="0"/>
          <w:u w:val="single"/>
          <w14:ligatures w14:val="none"/>
        </w:rPr>
        <w:t xml:space="preserve"> per la prima volta avrà una valenza annuale, proprio per consentire azioni di miglioramento periodiche e si prevede, ragionevolmente, possa essere presentato alla Giunta regionale nelle prossime settimane, </w:t>
      </w:r>
      <w:r w:rsidRPr="00052E2E">
        <w:rPr>
          <w:kern w:val="0"/>
          <w14:ligatures w14:val="none"/>
        </w:rPr>
        <w:t>perché gli uffici interessati hanno già lavorato da tempo in merito ed il piano è in fase di definizione finale.</w:t>
      </w:r>
    </w:p>
    <w:p w14:paraId="067EBE0A" w14:textId="77777777" w:rsidR="00052E2E" w:rsidRPr="00052E2E" w:rsidRDefault="00052E2E" w:rsidP="00523BF0">
      <w:pPr>
        <w:spacing w:after="0"/>
        <w:jc w:val="both"/>
        <w:rPr>
          <w:kern w:val="0"/>
          <w14:ligatures w14:val="none"/>
        </w:rPr>
      </w:pPr>
      <w:r w:rsidRPr="00052E2E">
        <w:rPr>
          <w:kern w:val="0"/>
          <w14:ligatures w14:val="none"/>
        </w:rPr>
        <w:t>L’obiettivo prioritario è quello di individuare elementi di tutela e di garanzia volti ad agire come leve per incrementare il grado di efficienza e di appropriatezza di utilizzo delle risorse disponibili, prioritariamente in ambito di</w:t>
      </w:r>
      <w:r w:rsidRPr="00052E2E">
        <w:rPr>
          <w:kern w:val="0"/>
          <w:u w:val="single"/>
          <w14:ligatures w14:val="none"/>
        </w:rPr>
        <w:t xml:space="preserve"> </w:t>
      </w:r>
      <w:r w:rsidRPr="00052E2E">
        <w:rPr>
          <w:b/>
          <w:kern w:val="0"/>
          <w14:ligatures w14:val="none"/>
        </w:rPr>
        <w:t>prestazioni ambulatoriali sia di specialistica che di diagnostica</w:t>
      </w:r>
      <w:r w:rsidRPr="00052E2E">
        <w:rPr>
          <w:kern w:val="0"/>
          <w:u w:val="single"/>
          <w14:ligatures w14:val="none"/>
        </w:rPr>
        <w:t>,</w:t>
      </w:r>
      <w:r w:rsidRPr="00052E2E">
        <w:rPr>
          <w:kern w:val="0"/>
          <w14:ligatures w14:val="none"/>
        </w:rPr>
        <w:t xml:space="preserve"> successivamente si prevederanno interventi sulle liste di attesa riguardanti i ricoveri ospedalieri.</w:t>
      </w:r>
    </w:p>
    <w:p w14:paraId="474D3669" w14:textId="48EC83EB" w:rsidR="00052E2E" w:rsidRPr="00C60EB9" w:rsidRDefault="00052E2E" w:rsidP="00C60EB9">
      <w:pPr>
        <w:spacing w:after="0"/>
        <w:jc w:val="both"/>
        <w:rPr>
          <w:b/>
          <w:kern w:val="0"/>
          <w14:ligatures w14:val="none"/>
        </w:rPr>
      </w:pPr>
      <w:r w:rsidRPr="00C60EB9">
        <w:rPr>
          <w:b/>
          <w:kern w:val="0"/>
          <w14:ligatures w14:val="none"/>
        </w:rPr>
        <w:t>La Aziende sanitarie regionali dovranno presentare i propri piani attuativi aziendali, i quali dovranno contenere prioritariamente:</w:t>
      </w:r>
    </w:p>
    <w:p w14:paraId="348DAC1B" w14:textId="77777777" w:rsidR="00C60EB9" w:rsidRPr="00052E2E" w:rsidRDefault="00C60EB9" w:rsidP="00C60EB9">
      <w:pPr>
        <w:spacing w:after="0"/>
        <w:jc w:val="both"/>
        <w:rPr>
          <w:kern w:val="0"/>
          <w14:ligatures w14:val="none"/>
        </w:rPr>
      </w:pPr>
    </w:p>
    <w:p w14:paraId="7A9D2BCB" w14:textId="77777777" w:rsidR="00052E2E" w:rsidRPr="00052E2E" w:rsidRDefault="00052E2E" w:rsidP="00523BF0">
      <w:pPr>
        <w:pStyle w:val="Paragrafoelenco"/>
        <w:numPr>
          <w:ilvl w:val="0"/>
          <w:numId w:val="28"/>
        </w:numPr>
        <w:spacing w:line="480" w:lineRule="auto"/>
        <w:ind w:left="0" w:firstLine="0"/>
        <w:rPr>
          <w:b/>
          <w:bCs/>
          <w:i/>
          <w:iCs/>
          <w:u w:val="single"/>
        </w:rPr>
      </w:pPr>
      <w:r w:rsidRPr="00052E2E">
        <w:rPr>
          <w:b/>
          <w:bCs/>
          <w:i/>
          <w:iCs/>
          <w:u w:val="single"/>
        </w:rPr>
        <w:t>organizzazione dell’offerta:</w:t>
      </w:r>
    </w:p>
    <w:p w14:paraId="4B3EC938" w14:textId="77777777" w:rsidR="00052E2E" w:rsidRPr="00052E2E" w:rsidRDefault="00052E2E" w:rsidP="00523BF0">
      <w:pPr>
        <w:pStyle w:val="Paragrafoelenco"/>
        <w:numPr>
          <w:ilvl w:val="0"/>
          <w:numId w:val="29"/>
        </w:numPr>
        <w:spacing w:after="0" w:line="360" w:lineRule="auto"/>
        <w:ind w:left="357" w:firstLine="0"/>
      </w:pPr>
      <w:r w:rsidRPr="00052E2E">
        <w:t>azioni di efficientamento delle agende</w:t>
      </w:r>
    </w:p>
    <w:p w14:paraId="42BA4522" w14:textId="77777777" w:rsidR="00052E2E" w:rsidRPr="00052E2E" w:rsidRDefault="00052E2E" w:rsidP="00523BF0">
      <w:pPr>
        <w:pStyle w:val="Paragrafoelenco"/>
        <w:numPr>
          <w:ilvl w:val="0"/>
          <w:numId w:val="29"/>
        </w:numPr>
        <w:spacing w:after="0" w:line="360" w:lineRule="auto"/>
        <w:ind w:left="357" w:firstLine="0"/>
      </w:pPr>
      <w:r w:rsidRPr="00052E2E">
        <w:t>potenziamento dell’offerta di visite e prestazioni con:</w:t>
      </w:r>
    </w:p>
    <w:p w14:paraId="7EFAF061" w14:textId="77777777" w:rsidR="00052E2E" w:rsidRPr="00052E2E" w:rsidRDefault="00052E2E" w:rsidP="00523BF0">
      <w:pPr>
        <w:pStyle w:val="Paragrafoelenco"/>
        <w:numPr>
          <w:ilvl w:val="0"/>
          <w:numId w:val="30"/>
        </w:numPr>
        <w:spacing w:after="0"/>
        <w:ind w:firstLine="0"/>
      </w:pPr>
      <w:r w:rsidRPr="00052E2E">
        <w:t>risorse interne</w:t>
      </w:r>
    </w:p>
    <w:p w14:paraId="7BE4C0EE" w14:textId="77777777" w:rsidR="00052E2E" w:rsidRPr="00052E2E" w:rsidRDefault="00052E2E" w:rsidP="00523BF0">
      <w:pPr>
        <w:pStyle w:val="Paragrafoelenco"/>
        <w:numPr>
          <w:ilvl w:val="0"/>
          <w:numId w:val="30"/>
        </w:numPr>
        <w:spacing w:after="0" w:line="360" w:lineRule="auto"/>
        <w:ind w:firstLine="0"/>
      </w:pPr>
      <w:r w:rsidRPr="00052E2E">
        <w:t>risorse aggiuntive attraverso gli istituti contrattuali previsti</w:t>
      </w:r>
    </w:p>
    <w:p w14:paraId="1D25D09C" w14:textId="77777777" w:rsidR="00052E2E" w:rsidRPr="00052E2E" w:rsidRDefault="00052E2E" w:rsidP="00523BF0">
      <w:pPr>
        <w:pStyle w:val="Paragrafoelenco"/>
        <w:numPr>
          <w:ilvl w:val="0"/>
          <w:numId w:val="29"/>
        </w:numPr>
        <w:spacing w:after="0" w:line="360" w:lineRule="auto"/>
        <w:ind w:left="357" w:firstLine="0"/>
        <w:rPr>
          <w:u w:val="single"/>
        </w:rPr>
      </w:pPr>
      <w:r w:rsidRPr="00052E2E">
        <w:t xml:space="preserve">programmazione delle attività con le </w:t>
      </w:r>
      <w:r w:rsidRPr="00052E2E">
        <w:rPr>
          <w:u w:val="single"/>
        </w:rPr>
        <w:t>strutture private accreditate</w:t>
      </w:r>
    </w:p>
    <w:p w14:paraId="7720E88A" w14:textId="77777777" w:rsidR="00052E2E" w:rsidRDefault="00052E2E" w:rsidP="00523BF0">
      <w:pPr>
        <w:pStyle w:val="Paragrafoelenco"/>
        <w:numPr>
          <w:ilvl w:val="0"/>
          <w:numId w:val="29"/>
        </w:numPr>
        <w:spacing w:after="0" w:line="360" w:lineRule="auto"/>
        <w:ind w:left="357" w:firstLine="0"/>
      </w:pPr>
      <w:r w:rsidRPr="00052E2E">
        <w:t xml:space="preserve">piano di sviluppo della </w:t>
      </w:r>
      <w:r w:rsidRPr="00052E2E">
        <w:rPr>
          <w:u w:val="single"/>
        </w:rPr>
        <w:t>telemedicina</w:t>
      </w:r>
      <w:r w:rsidRPr="00052E2E">
        <w:rPr>
          <w:b/>
        </w:rPr>
        <w:t xml:space="preserve"> </w:t>
      </w:r>
      <w:r w:rsidRPr="00052E2E">
        <w:t>in tutte le sue declinazioni</w:t>
      </w:r>
    </w:p>
    <w:p w14:paraId="53B305F2" w14:textId="40682A05" w:rsidR="00052E2E" w:rsidRPr="00052E2E" w:rsidRDefault="00052E2E" w:rsidP="00523BF0">
      <w:pPr>
        <w:pStyle w:val="Paragrafoelenco"/>
        <w:numPr>
          <w:ilvl w:val="0"/>
          <w:numId w:val="29"/>
        </w:numPr>
        <w:spacing w:after="0" w:line="360" w:lineRule="auto"/>
        <w:ind w:left="357" w:firstLine="0"/>
      </w:pPr>
      <w:r w:rsidRPr="00052E2E">
        <w:t xml:space="preserve">ottimizzazione dell’utilizzo delle </w:t>
      </w:r>
      <w:r w:rsidRPr="00052E2E">
        <w:rPr>
          <w:u w:val="single"/>
        </w:rPr>
        <w:t>grandi attrezzature</w:t>
      </w:r>
    </w:p>
    <w:p w14:paraId="15F7E8D6" w14:textId="77777777" w:rsidR="00052E2E" w:rsidRPr="00052E2E" w:rsidRDefault="00052E2E" w:rsidP="00523BF0">
      <w:pPr>
        <w:pStyle w:val="Paragrafoelenco"/>
        <w:numPr>
          <w:ilvl w:val="0"/>
          <w:numId w:val="29"/>
        </w:numPr>
        <w:spacing w:after="0" w:line="360" w:lineRule="auto"/>
        <w:ind w:left="357" w:firstLine="0"/>
        <w:rPr>
          <w:u w:val="single"/>
        </w:rPr>
      </w:pPr>
      <w:r w:rsidRPr="00052E2E">
        <w:t>strategie di governo della libera professione</w:t>
      </w:r>
    </w:p>
    <w:p w14:paraId="62AC1E00" w14:textId="77777777" w:rsidR="00052E2E" w:rsidRPr="00052E2E" w:rsidRDefault="00052E2E" w:rsidP="00523BF0">
      <w:pPr>
        <w:pStyle w:val="Paragrafoelenco"/>
        <w:numPr>
          <w:ilvl w:val="0"/>
          <w:numId w:val="29"/>
        </w:numPr>
        <w:spacing w:after="0" w:line="600" w:lineRule="auto"/>
        <w:ind w:left="357" w:firstLine="0"/>
      </w:pPr>
      <w:r w:rsidRPr="00052E2E">
        <w:t xml:space="preserve">aperture straordinarie delle </w:t>
      </w:r>
      <w:r w:rsidRPr="00052E2E">
        <w:rPr>
          <w:u w:val="single"/>
        </w:rPr>
        <w:t>attività ambulatoriali SABATO e DOMENICA</w:t>
      </w:r>
      <w:r w:rsidRPr="00052E2E">
        <w:t xml:space="preserve"> </w:t>
      </w:r>
    </w:p>
    <w:p w14:paraId="0007D20D" w14:textId="77777777" w:rsidR="00052E2E" w:rsidRPr="00052E2E" w:rsidRDefault="00052E2E" w:rsidP="00523BF0">
      <w:pPr>
        <w:pStyle w:val="Paragrafoelenco"/>
        <w:numPr>
          <w:ilvl w:val="0"/>
          <w:numId w:val="28"/>
        </w:numPr>
        <w:spacing w:line="360" w:lineRule="auto"/>
        <w:ind w:left="0" w:firstLine="0"/>
        <w:rPr>
          <w:b/>
          <w:bCs/>
          <w:i/>
          <w:iCs/>
          <w:u w:val="single"/>
        </w:rPr>
      </w:pPr>
      <w:r w:rsidRPr="00052E2E">
        <w:rPr>
          <w:b/>
          <w:bCs/>
          <w:i/>
          <w:iCs/>
          <w:u w:val="single"/>
        </w:rPr>
        <w:t>gestione della domanda:</w:t>
      </w:r>
    </w:p>
    <w:p w14:paraId="15CB6B1E" w14:textId="77777777" w:rsidR="00052E2E" w:rsidRPr="00052E2E" w:rsidRDefault="00052E2E" w:rsidP="00523BF0">
      <w:pPr>
        <w:pStyle w:val="Paragrafoelenco"/>
        <w:numPr>
          <w:ilvl w:val="0"/>
          <w:numId w:val="31"/>
        </w:numPr>
        <w:spacing w:after="0" w:line="600" w:lineRule="auto"/>
        <w:ind w:left="0" w:firstLine="426"/>
      </w:pPr>
      <w:r w:rsidRPr="00052E2E">
        <w:t>piano delle azioni sull’appropriatezza prescrittiva</w:t>
      </w:r>
    </w:p>
    <w:p w14:paraId="1FEF055B" w14:textId="77777777" w:rsidR="00052E2E" w:rsidRPr="00052E2E" w:rsidRDefault="00052E2E" w:rsidP="00523BF0">
      <w:pPr>
        <w:pStyle w:val="Paragrafoelenco"/>
        <w:numPr>
          <w:ilvl w:val="0"/>
          <w:numId w:val="28"/>
        </w:numPr>
        <w:spacing w:line="600" w:lineRule="auto"/>
        <w:ind w:left="0" w:firstLine="0"/>
        <w:rPr>
          <w:b/>
          <w:bCs/>
          <w:i/>
          <w:iCs/>
          <w:u w:val="single"/>
        </w:rPr>
      </w:pPr>
      <w:r w:rsidRPr="00052E2E">
        <w:rPr>
          <w:b/>
          <w:bCs/>
          <w:i/>
          <w:iCs/>
          <w:u w:val="single"/>
        </w:rPr>
        <w:t xml:space="preserve">presa in carico dei pazienti cronici con AGENDE DEDICATE </w:t>
      </w:r>
    </w:p>
    <w:p w14:paraId="2419DEAE" w14:textId="77777777" w:rsidR="00052E2E" w:rsidRPr="00052E2E" w:rsidRDefault="00052E2E" w:rsidP="00523BF0">
      <w:pPr>
        <w:pStyle w:val="Paragrafoelenco"/>
        <w:numPr>
          <w:ilvl w:val="0"/>
          <w:numId w:val="28"/>
        </w:numPr>
        <w:spacing w:line="480" w:lineRule="auto"/>
        <w:ind w:left="0" w:firstLine="0"/>
        <w:rPr>
          <w:b/>
          <w:bCs/>
          <w:i/>
          <w:iCs/>
          <w:u w:val="single"/>
        </w:rPr>
      </w:pPr>
      <w:r w:rsidRPr="00052E2E">
        <w:rPr>
          <w:b/>
          <w:bCs/>
          <w:i/>
          <w:iCs/>
          <w:u w:val="single"/>
        </w:rPr>
        <w:t xml:space="preserve">trasparenza e comunicazione nei confronti dei cittadini </w:t>
      </w:r>
      <w:proofErr w:type="gramStart"/>
      <w:r w:rsidRPr="00052E2E">
        <w:rPr>
          <w:b/>
          <w:bCs/>
          <w:i/>
          <w:iCs/>
          <w:u w:val="single"/>
        </w:rPr>
        <w:t>utenti .</w:t>
      </w:r>
      <w:proofErr w:type="gramEnd"/>
    </w:p>
    <w:p w14:paraId="5068847C" w14:textId="1C29710A" w:rsidR="00052E2E" w:rsidRPr="00052E2E" w:rsidRDefault="00052E2E" w:rsidP="00523BF0">
      <w:pPr>
        <w:autoSpaceDE w:val="0"/>
        <w:autoSpaceDN w:val="0"/>
        <w:adjustRightInd w:val="0"/>
        <w:spacing w:after="0"/>
        <w:jc w:val="both"/>
        <w:rPr>
          <w:kern w:val="0"/>
          <w14:ligatures w14:val="none"/>
        </w:rPr>
      </w:pPr>
      <w:r>
        <w:rPr>
          <w:b/>
          <w:kern w:val="0"/>
          <w14:ligatures w14:val="none"/>
        </w:rPr>
        <w:t>La Direzione Generale</w:t>
      </w:r>
      <w:r w:rsidRPr="00052E2E">
        <w:rPr>
          <w:b/>
          <w:kern w:val="0"/>
          <w14:ligatures w14:val="none"/>
        </w:rPr>
        <w:t xml:space="preserve"> regionale</w:t>
      </w:r>
      <w:r w:rsidRPr="00052E2E">
        <w:rPr>
          <w:kern w:val="0"/>
          <w:u w:val="single"/>
          <w14:ligatures w14:val="none"/>
        </w:rPr>
        <w:t xml:space="preserve"> </w:t>
      </w:r>
      <w:r w:rsidRPr="00052E2E">
        <w:rPr>
          <w:b/>
          <w:bCs/>
          <w:kern w:val="0"/>
          <w14:ligatures w14:val="none"/>
        </w:rPr>
        <w:t xml:space="preserve">per la Salute e le Politiche della Persona </w:t>
      </w:r>
      <w:r w:rsidRPr="00052E2E">
        <w:rPr>
          <w:kern w:val="0"/>
          <w14:ligatures w14:val="none"/>
        </w:rPr>
        <w:t>svolgerà, come prevede la legge, la funzione di coordinamento dei processi</w:t>
      </w:r>
      <w:r w:rsidR="00441C0D">
        <w:rPr>
          <w:kern w:val="0"/>
          <w14:ligatures w14:val="none"/>
        </w:rPr>
        <w:t xml:space="preserve"> di</w:t>
      </w:r>
      <w:r w:rsidRPr="00052E2E">
        <w:rPr>
          <w:kern w:val="0"/>
          <w14:ligatures w14:val="none"/>
        </w:rPr>
        <w:t xml:space="preserve"> monitoraggio e controllo delle attività nella materia de quo.</w:t>
      </w:r>
    </w:p>
    <w:p w14:paraId="54AF5C4B" w14:textId="7CE24DE4" w:rsidR="00052E2E" w:rsidRPr="00052E2E" w:rsidRDefault="00052E2E" w:rsidP="00523BF0">
      <w:pPr>
        <w:spacing w:after="0"/>
        <w:jc w:val="both"/>
        <w:rPr>
          <w:b/>
          <w:kern w:val="0"/>
          <w14:ligatures w14:val="none"/>
        </w:rPr>
      </w:pPr>
      <w:r w:rsidRPr="00052E2E">
        <w:rPr>
          <w:kern w:val="0"/>
          <w14:ligatures w14:val="none"/>
        </w:rPr>
        <w:t>Il</w:t>
      </w:r>
      <w:r>
        <w:rPr>
          <w:kern w:val="0"/>
          <w14:ligatures w14:val="none"/>
        </w:rPr>
        <w:t xml:space="preserve"> </w:t>
      </w:r>
      <w:r w:rsidRPr="00052E2E">
        <w:rPr>
          <w:kern w:val="0"/>
          <w14:ligatures w14:val="none"/>
        </w:rPr>
        <w:t xml:space="preserve">nuovo Decreto sulle liste d’attesa ha disposto importanti novità per quanto concerne la tematica: l’istituzione di una piattaforma nazionale che opererà in sinergia con quelle regionali, consentirà il controllo costante sul rispetto dei tempi previsti, con l’ adeguamento del sistema di prenotazione delle prestazioni sanitarie, potenziamento dell’offerta assistenziale in relazione alle visite diagnostiche e specialistiche con possibilità di svolgimento anche nei giorni di sabato e domenica, </w:t>
      </w:r>
      <w:r w:rsidRPr="00052E2E">
        <w:rPr>
          <w:b/>
          <w:kern w:val="0"/>
          <w14:ligatures w14:val="none"/>
        </w:rPr>
        <w:t>ulteriore divieto di bloccare o chiudere le liste d’attesa e possibilità di sanzioni.</w:t>
      </w:r>
    </w:p>
    <w:p w14:paraId="66747B84" w14:textId="08AAE7AC" w:rsidR="00052E2E" w:rsidRPr="00052E2E" w:rsidRDefault="00052E2E" w:rsidP="00523BF0">
      <w:pPr>
        <w:spacing w:after="0"/>
        <w:jc w:val="both"/>
        <w:rPr>
          <w:kern w:val="0"/>
          <w14:ligatures w14:val="none"/>
        </w:rPr>
      </w:pPr>
      <w:r w:rsidRPr="00052E2E">
        <w:rPr>
          <w:b/>
          <w:kern w:val="0"/>
          <w14:ligatures w14:val="none"/>
        </w:rPr>
        <w:lastRenderedPageBreak/>
        <w:t>La Regione Basilicata</w:t>
      </w:r>
      <w:r w:rsidRPr="00052E2E">
        <w:rPr>
          <w:kern w:val="0"/>
          <w14:ligatures w14:val="none"/>
        </w:rPr>
        <w:t xml:space="preserve"> per il tramite dell’Ufficio “PNRR e sanità </w:t>
      </w:r>
      <w:r w:rsidR="00523BF0" w:rsidRPr="00052E2E">
        <w:rPr>
          <w:kern w:val="0"/>
          <w14:ligatures w14:val="none"/>
        </w:rPr>
        <w:t>digitale” ha</w:t>
      </w:r>
      <w:r w:rsidRPr="00052E2E">
        <w:rPr>
          <w:b/>
          <w:kern w:val="0"/>
          <w14:ligatures w14:val="none"/>
        </w:rPr>
        <w:t xml:space="preserve"> chiesto ed ottenuto di essere </w:t>
      </w:r>
      <w:r w:rsidRPr="00052E2E">
        <w:rPr>
          <w:b/>
          <w:kern w:val="0"/>
          <w:u w:val="single"/>
          <w14:ligatures w14:val="none"/>
        </w:rPr>
        <w:t>una delle tre regioni</w:t>
      </w:r>
      <w:r w:rsidRPr="00052E2E">
        <w:rPr>
          <w:b/>
          <w:kern w:val="0"/>
          <w14:ligatures w14:val="none"/>
        </w:rPr>
        <w:t xml:space="preserve"> (insieme  alla Regione Lazio e Friuli Venezia Giulia) interessate dalla sperimentazione del primo invio dei dati occorrenti per l’implementazione della piattaforma nazionale</w:t>
      </w:r>
      <w:r w:rsidRPr="00052E2E">
        <w:rPr>
          <w:kern w:val="0"/>
          <w14:ligatures w14:val="none"/>
        </w:rPr>
        <w:t xml:space="preserve"> Ovver</w:t>
      </w:r>
      <w:r w:rsidR="00523BF0">
        <w:rPr>
          <w:kern w:val="0"/>
          <w14:ligatures w14:val="none"/>
        </w:rPr>
        <w:t>o,</w:t>
      </w:r>
      <w:r w:rsidRPr="00052E2E">
        <w:rPr>
          <w:kern w:val="0"/>
          <w14:ligatures w14:val="none"/>
        </w:rPr>
        <w:t xml:space="preserve"> mentre per i primi invii tutte le Regioni trasferiranno una estrazione dei dati con cadenza mensile, le tre regioni interessate utilizzeranno direttamente il modello FHIR, ovvero trasferimento dei dati direttamente sulla piattaforma, secondo quella che sarà la procedura a regime, una volta entrata in vigore per tutti la piattaforma di trasferimento dati.</w:t>
      </w:r>
    </w:p>
    <w:p w14:paraId="1DB361BA" w14:textId="542B4204" w:rsidR="00052E2E" w:rsidRPr="00052E2E" w:rsidRDefault="00052E2E" w:rsidP="00523BF0">
      <w:pPr>
        <w:spacing w:after="0"/>
        <w:jc w:val="both"/>
        <w:rPr>
          <w:kern w:val="0"/>
          <w14:ligatures w14:val="none"/>
        </w:rPr>
      </w:pPr>
      <w:r w:rsidRPr="00052E2E">
        <w:rPr>
          <w:b/>
          <w:kern w:val="0"/>
          <w14:ligatures w14:val="none"/>
        </w:rPr>
        <w:t xml:space="preserve">Nelle more della definizione del suddetto piano, </w:t>
      </w:r>
      <w:r w:rsidRPr="00052E2E">
        <w:rPr>
          <w:kern w:val="0"/>
          <w14:ligatures w14:val="none"/>
        </w:rPr>
        <w:t>dall’entrata in vigore della legge avvenuta ad Agosto 2024 ad oggi, sono state comunque poste in essere prime azioni correttive da svolgersi entro il 31/12/2024 individuando le prestazioni di specialistica ambulatoriale più critiche, ovvero quelle per cui l’attesa, per ciascuna Azienda, ad oggi, non rispetta i tempi previsti dalle classi di priorità, individuate nel PNGLA (Piano nazionale governo delle liste di attesa).</w:t>
      </w:r>
    </w:p>
    <w:p w14:paraId="05B8F032" w14:textId="6E7D893B" w:rsidR="00052E2E" w:rsidRPr="00052E2E" w:rsidRDefault="00052E2E" w:rsidP="00523BF0">
      <w:pPr>
        <w:spacing w:after="0"/>
        <w:jc w:val="both"/>
        <w:rPr>
          <w:kern w:val="0"/>
          <w14:ligatures w14:val="none"/>
        </w:rPr>
      </w:pPr>
      <w:r w:rsidRPr="00052E2E">
        <w:rPr>
          <w:b/>
          <w:kern w:val="0"/>
          <w14:ligatures w14:val="none"/>
        </w:rPr>
        <w:t xml:space="preserve">Con la DGR </w:t>
      </w:r>
      <w:r w:rsidR="00523BF0">
        <w:rPr>
          <w:b/>
          <w:kern w:val="0"/>
          <w14:ligatures w14:val="none"/>
        </w:rPr>
        <w:t>n.</w:t>
      </w:r>
      <w:r w:rsidRPr="00052E2E">
        <w:rPr>
          <w:b/>
          <w:kern w:val="0"/>
          <w14:ligatures w14:val="none"/>
        </w:rPr>
        <w:t xml:space="preserve">660 del 04/11/2024 </w:t>
      </w:r>
      <w:r w:rsidRPr="00052E2E">
        <w:rPr>
          <w:kern w:val="0"/>
          <w14:ligatures w14:val="none"/>
        </w:rPr>
        <w:t xml:space="preserve">sono state individuate </w:t>
      </w:r>
      <w:r w:rsidRPr="00052E2E">
        <w:rPr>
          <w:b/>
          <w:kern w:val="0"/>
          <w14:ligatures w14:val="none"/>
        </w:rPr>
        <w:t>n. 37.138</w:t>
      </w:r>
      <w:r w:rsidRPr="00052E2E">
        <w:rPr>
          <w:kern w:val="0"/>
          <w14:ligatures w14:val="none"/>
        </w:rPr>
        <w:t xml:space="preserve"> prestazioni di specialistica ambulatoriale che, ai sensi dell’art.4 comma 9-octies del DL n.198/2022, sono state svolte dalle strutture private accreditate e contrattualizzate di cui all’art.1 comma 277 della L n.234/2021, che afferiscono al Centro Unico di Prenotazione (CUP) unico regionale ai sensi dell’art. 3 della legge 107 del 29 luglio 2024 di conversione del D.L. 73/2024 </w:t>
      </w:r>
    </w:p>
    <w:p w14:paraId="76242740" w14:textId="77777777" w:rsidR="00523BF0" w:rsidRDefault="00052E2E" w:rsidP="00523BF0">
      <w:pPr>
        <w:spacing w:after="0"/>
        <w:jc w:val="both"/>
        <w:rPr>
          <w:kern w:val="0"/>
          <w14:ligatures w14:val="none"/>
        </w:rPr>
      </w:pPr>
      <w:r w:rsidRPr="00052E2E">
        <w:rPr>
          <w:kern w:val="0"/>
          <w14:ligatures w14:val="none"/>
        </w:rPr>
        <w:t xml:space="preserve">La somma utilizzata di </w:t>
      </w:r>
      <w:r w:rsidRPr="00052E2E">
        <w:rPr>
          <w:b/>
          <w:kern w:val="0"/>
          <w14:ligatures w14:val="none"/>
        </w:rPr>
        <w:t>€ 1.989.832,67</w:t>
      </w:r>
      <w:r w:rsidRPr="00052E2E">
        <w:rPr>
          <w:kern w:val="0"/>
          <w14:ligatures w14:val="none"/>
        </w:rPr>
        <w:t xml:space="preserve"> è quota parte dello 0,4 per cento del livello di finanziamento indistinto del fabbisogno sanitario nazionale standard per l’anno 2024. </w:t>
      </w:r>
    </w:p>
    <w:p w14:paraId="675E3B78" w14:textId="0F37653A" w:rsidR="00523BF0" w:rsidRDefault="00052E2E" w:rsidP="00523BF0">
      <w:pPr>
        <w:spacing w:after="0"/>
        <w:jc w:val="both"/>
        <w:rPr>
          <w:kern w:val="0"/>
          <w14:ligatures w14:val="none"/>
        </w:rPr>
      </w:pPr>
      <w:r w:rsidRPr="00052E2E">
        <w:rPr>
          <w:b/>
          <w:kern w:val="0"/>
          <w14:ligatures w14:val="none"/>
        </w:rPr>
        <w:t>Con la DGR n.725 del 3/12/2024</w:t>
      </w:r>
      <w:r w:rsidRPr="00052E2E">
        <w:rPr>
          <w:kern w:val="0"/>
          <w14:ligatures w14:val="none"/>
        </w:rPr>
        <w:t xml:space="preserve">, inoltre per l’anno 2024, ovvero entro il 31/12/2024, le Aziende sanitarie sono state invitate a svolgere </w:t>
      </w:r>
      <w:r w:rsidRPr="00052E2E">
        <w:rPr>
          <w:b/>
          <w:kern w:val="0"/>
          <w14:ligatures w14:val="none"/>
        </w:rPr>
        <w:t>ulteriori prestazioni sanitarie</w:t>
      </w:r>
      <w:r w:rsidRPr="00052E2E">
        <w:rPr>
          <w:kern w:val="0"/>
          <w14:ligatures w14:val="none"/>
        </w:rPr>
        <w:t>, nelle aree di specialistica ambulatoriale, anche destinate all’abbattimento delle liste di attesa, che sono state remunerate con i fondi destinati all’incremento delle prestazioni aggiuntive per il persona</w:t>
      </w:r>
      <w:r w:rsidR="0026655F">
        <w:rPr>
          <w:kern w:val="0"/>
          <w14:ligatures w14:val="none"/>
        </w:rPr>
        <w:t xml:space="preserve">le medico per € 1.840.000,00 e </w:t>
      </w:r>
      <w:r w:rsidRPr="00052E2E">
        <w:rPr>
          <w:kern w:val="0"/>
          <w14:ligatures w14:val="none"/>
        </w:rPr>
        <w:t>per il personale di comparto per € 736.000,00</w:t>
      </w:r>
      <w:r w:rsidR="00441C0D">
        <w:rPr>
          <w:kern w:val="0"/>
          <w14:ligatures w14:val="none"/>
        </w:rPr>
        <w:t>,</w:t>
      </w:r>
      <w:r w:rsidRPr="00052E2E">
        <w:rPr>
          <w:b/>
          <w:kern w:val="0"/>
          <w14:ligatures w14:val="none"/>
        </w:rPr>
        <w:t xml:space="preserve"> per un totale di € 2.576.000.00</w:t>
      </w:r>
      <w:r w:rsidR="00523BF0">
        <w:rPr>
          <w:kern w:val="0"/>
          <w14:ligatures w14:val="none"/>
        </w:rPr>
        <w:t>.</w:t>
      </w:r>
    </w:p>
    <w:p w14:paraId="661912D2" w14:textId="541575F8" w:rsidR="00052E2E" w:rsidRDefault="00052E2E" w:rsidP="00523BF0">
      <w:pPr>
        <w:spacing w:after="0"/>
        <w:jc w:val="both"/>
        <w:rPr>
          <w:kern w:val="0"/>
          <w14:ligatures w14:val="none"/>
        </w:rPr>
      </w:pPr>
      <w:r w:rsidRPr="00052E2E">
        <w:rPr>
          <w:b/>
          <w:kern w:val="0"/>
          <w14:ligatures w14:val="none"/>
        </w:rPr>
        <w:t>Per l’anno 2025</w:t>
      </w:r>
      <w:r w:rsidRPr="00052E2E">
        <w:rPr>
          <w:kern w:val="0"/>
          <w14:ligatures w14:val="none"/>
        </w:rPr>
        <w:t xml:space="preserve"> le risorse da impiegare si preannunciano essere superiori </w:t>
      </w:r>
      <w:r w:rsidR="0026655F">
        <w:rPr>
          <w:b/>
          <w:kern w:val="0"/>
          <w14:ligatures w14:val="none"/>
        </w:rPr>
        <w:t>ai 4 Mln</w:t>
      </w:r>
      <w:r w:rsidR="0026655F">
        <w:rPr>
          <w:kern w:val="0"/>
          <w14:ligatures w14:val="none"/>
        </w:rPr>
        <w:t xml:space="preserve"> (circa 4,6 Mln</w:t>
      </w:r>
      <w:proofErr w:type="gramStart"/>
      <w:r w:rsidRPr="00052E2E">
        <w:rPr>
          <w:kern w:val="0"/>
          <w14:ligatures w14:val="none"/>
        </w:rPr>
        <w:t>) ,</w:t>
      </w:r>
      <w:proofErr w:type="gramEnd"/>
      <w:r w:rsidRPr="00052E2E">
        <w:rPr>
          <w:kern w:val="0"/>
          <w14:ligatures w14:val="none"/>
        </w:rPr>
        <w:t xml:space="preserve"> quindi +0,1 % del livello di finanziamento indistinto del fabbisogno sanitario nazionale standard dell’anno 2024 (  0,5 % rispetto al 0,4 % del 2024.)che saranno  programmati ed utilizzati totalmente.</w:t>
      </w:r>
    </w:p>
    <w:p w14:paraId="6E56B162" w14:textId="08DB2570" w:rsidR="005E7FA6" w:rsidRPr="00052E2E" w:rsidRDefault="005E7FA6" w:rsidP="00523BF0">
      <w:pPr>
        <w:spacing w:after="0"/>
        <w:jc w:val="both"/>
        <w:rPr>
          <w:kern w:val="0"/>
          <w14:ligatures w14:val="none"/>
        </w:rPr>
      </w:pPr>
      <w:r>
        <w:rPr>
          <w:kern w:val="0"/>
          <w14:ligatures w14:val="none"/>
        </w:rPr>
        <w:t>A partire dal prossimo mese di marzo, inoltre, sarà possibile per i cittadini prenotare le prestazioni sanitarie anche attraverso l’applicazione “Basilicata Salute”, in queste ore le Aziende Sanitarie del SSR e le strutture private accreditate</w:t>
      </w:r>
      <w:r w:rsidR="004C69FE">
        <w:rPr>
          <w:kern w:val="0"/>
          <w14:ligatures w14:val="none"/>
        </w:rPr>
        <w:t xml:space="preserve"> contrattualizzate</w:t>
      </w:r>
      <w:r>
        <w:rPr>
          <w:kern w:val="0"/>
          <w14:ligatures w14:val="none"/>
        </w:rPr>
        <w:t xml:space="preserve"> stanno terminando il caricamento delle rispettive “agende”, così da rendere più celere e trasparente la disponibilità e l’erogazione delle suddette prestazioni.</w:t>
      </w:r>
    </w:p>
    <w:p w14:paraId="41760241" w14:textId="628E6499" w:rsidR="004E1BF9" w:rsidRDefault="004E1BF9">
      <w:pPr>
        <w:rPr>
          <w:b/>
          <w:bCs/>
          <w:u w:val="single"/>
        </w:rPr>
      </w:pPr>
      <w:r>
        <w:rPr>
          <w:b/>
          <w:bCs/>
          <w:u w:val="single"/>
        </w:rPr>
        <w:br w:type="page"/>
      </w:r>
    </w:p>
    <w:p w14:paraId="214724F7" w14:textId="67415100" w:rsidR="007453B0" w:rsidRPr="00052E2E" w:rsidRDefault="007C0E07" w:rsidP="00523BF0">
      <w:pPr>
        <w:jc w:val="both"/>
      </w:pPr>
      <w:r w:rsidRPr="0067463D">
        <w:rPr>
          <w:b/>
          <w:bCs/>
          <w:u w:val="single"/>
        </w:rPr>
        <w:lastRenderedPageBreak/>
        <w:t>STRUTTURE PRIVATE ACCREDITATE</w:t>
      </w:r>
    </w:p>
    <w:p w14:paraId="053D0188" w14:textId="738DF8A7" w:rsidR="0067463D" w:rsidRPr="00234505" w:rsidRDefault="0067463D" w:rsidP="0067463D">
      <w:pPr>
        <w:jc w:val="both"/>
        <w:rPr>
          <w:b/>
          <w:bCs/>
          <w:u w:val="single"/>
        </w:rPr>
      </w:pPr>
      <w:r w:rsidRPr="009B4870">
        <w:rPr>
          <w:rFonts w:ascii="Aptos" w:hAnsi="Aptos"/>
        </w:rPr>
        <w:t>Il limite di spesa per l’assistenza specialistica ambulatoriale erogata dalle strutture private accreditate ai cittadini residenti e non in Regione Basilicata, nell’anno 2024, ai sensi del DL n.</w:t>
      </w:r>
      <w:r w:rsidR="00234505">
        <w:rPr>
          <w:rFonts w:ascii="Aptos" w:hAnsi="Aptos"/>
        </w:rPr>
        <w:t xml:space="preserve"> </w:t>
      </w:r>
      <w:r w:rsidRPr="009B4870">
        <w:rPr>
          <w:rFonts w:ascii="Aptos" w:hAnsi="Aptos"/>
        </w:rPr>
        <w:t>95/2012, della LR n.1</w:t>
      </w:r>
      <w:r w:rsidR="00234505">
        <w:rPr>
          <w:rFonts w:ascii="Aptos" w:hAnsi="Aptos"/>
        </w:rPr>
        <w:t xml:space="preserve"> </w:t>
      </w:r>
      <w:r w:rsidRPr="009B4870">
        <w:rPr>
          <w:rFonts w:ascii="Aptos" w:hAnsi="Aptos"/>
        </w:rPr>
        <w:t>4/2024 e della DGR n.660/2024, è pari a circa 35.538.990 € (35,5 ml €), di cui circa 25,7 ml € per residenti, 2,7 ml € per non residenti, 1,9 ml € per la riduzione delle liste di attesa, 5,013 ml € economie da assistenza ospedaliera da privato (economie utilizzabili in quanto la struttura ospedaliera privata riprenderà l’attività nel corso del 2025). Attualmente 54 strutture private accreditate sono contrattualizzate con il SSR per l’erogazione dell’attività ambulatoriale.</w:t>
      </w:r>
    </w:p>
    <w:p w14:paraId="10707AE0" w14:textId="11C77964" w:rsidR="0067463D" w:rsidRPr="009B4870" w:rsidRDefault="0067463D" w:rsidP="0067463D">
      <w:pPr>
        <w:jc w:val="both"/>
        <w:rPr>
          <w:rFonts w:ascii="Aptos" w:hAnsi="Aptos"/>
        </w:rPr>
      </w:pPr>
      <w:r w:rsidRPr="009B4870">
        <w:rPr>
          <w:rFonts w:ascii="Aptos" w:hAnsi="Aptos"/>
        </w:rPr>
        <w:t>Il limite di spesa per l’assistenza riabilitativa ex</w:t>
      </w:r>
      <w:r w:rsidR="00234505">
        <w:rPr>
          <w:rFonts w:ascii="Aptos" w:hAnsi="Aptos"/>
        </w:rPr>
        <w:t xml:space="preserve"> </w:t>
      </w:r>
      <w:r w:rsidRPr="009B4870">
        <w:rPr>
          <w:rFonts w:ascii="Aptos" w:hAnsi="Aptos"/>
        </w:rPr>
        <w:t>art.</w:t>
      </w:r>
      <w:r w:rsidR="00234505">
        <w:rPr>
          <w:rFonts w:ascii="Aptos" w:hAnsi="Aptos"/>
        </w:rPr>
        <w:t xml:space="preserve"> </w:t>
      </w:r>
      <w:r w:rsidRPr="009B4870">
        <w:rPr>
          <w:rFonts w:ascii="Aptos" w:hAnsi="Aptos"/>
        </w:rPr>
        <w:t>26</w:t>
      </w:r>
      <w:r w:rsidR="00234505">
        <w:rPr>
          <w:rFonts w:ascii="Aptos" w:hAnsi="Aptos"/>
        </w:rPr>
        <w:t>,</w:t>
      </w:r>
      <w:r w:rsidRPr="009B4870">
        <w:rPr>
          <w:rFonts w:ascii="Aptos" w:hAnsi="Aptos"/>
        </w:rPr>
        <w:t xml:space="preserve"> erogata</w:t>
      </w:r>
      <w:r w:rsidR="00234505">
        <w:rPr>
          <w:rFonts w:ascii="Aptos" w:hAnsi="Aptos"/>
        </w:rPr>
        <w:t xml:space="preserve"> </w:t>
      </w:r>
      <w:r w:rsidRPr="009B4870">
        <w:rPr>
          <w:rFonts w:ascii="Aptos" w:hAnsi="Aptos"/>
        </w:rPr>
        <w:t>in regime ambulatoriale, residenziale e semiresidenziale, dalle strutture private accreditate ai cittadini residenti in Regione Basilicata, nell’anno 2024, anche ai sensi della LR n</w:t>
      </w:r>
      <w:r w:rsidR="00234505">
        <w:rPr>
          <w:rFonts w:ascii="Aptos" w:hAnsi="Aptos"/>
        </w:rPr>
        <w:t xml:space="preserve">. </w:t>
      </w:r>
      <w:r w:rsidRPr="009B4870">
        <w:rPr>
          <w:rFonts w:ascii="Aptos" w:hAnsi="Aptos"/>
        </w:rPr>
        <w:t>14/2024, è pari a circa 29.991.775 € (29,9 ml €). Attualmente 13 strutture private accreditate sono contrattualizzate con il SSR per l’erogazione dell’attività riabilitativa con sedi diverse sul territorio regionale.</w:t>
      </w:r>
    </w:p>
    <w:p w14:paraId="4626AD41" w14:textId="77777777" w:rsidR="0067463D" w:rsidRPr="009B4870" w:rsidRDefault="0067463D" w:rsidP="0067463D">
      <w:pPr>
        <w:jc w:val="both"/>
        <w:rPr>
          <w:rFonts w:ascii="Aptos" w:hAnsi="Aptos"/>
        </w:rPr>
      </w:pPr>
      <w:r w:rsidRPr="009B4870">
        <w:rPr>
          <w:rFonts w:ascii="Aptos" w:hAnsi="Aptos"/>
        </w:rPr>
        <w:t xml:space="preserve">Il limite di spesa per l’assistenza ospedaliera post acuti erogata da privato accreditato è pari a circa 2,4 ml € per i cittadini residenti. </w:t>
      </w:r>
    </w:p>
    <w:p w14:paraId="54D17433" w14:textId="77777777" w:rsidR="0067463D" w:rsidRPr="009B4870" w:rsidRDefault="0067463D" w:rsidP="0067463D">
      <w:pPr>
        <w:jc w:val="both"/>
        <w:rPr>
          <w:rFonts w:ascii="Aptos" w:hAnsi="Aptos"/>
        </w:rPr>
      </w:pPr>
      <w:r w:rsidRPr="009B4870">
        <w:rPr>
          <w:rFonts w:ascii="Aptos" w:hAnsi="Aptos"/>
        </w:rPr>
        <w:t>Il limite di spesa per l’assistenza sociosanitaria per non autosufficienti erogata da privato accreditato è pari a circa 7 ml € per i cittadini residenti. Attualmente 4 strutture sono contrattualizzate con il SSR per l’erogazione dell’attività per non autosufficienti per livello assistenziale, per complessivi 196 posti letto circa, ivi inclusi i moduli per pazienti affetti da Alzheimer e da demenza.</w:t>
      </w:r>
    </w:p>
    <w:p w14:paraId="02639D5A" w14:textId="77777777" w:rsidR="0067463D" w:rsidRPr="009B4870" w:rsidRDefault="0067463D" w:rsidP="0067463D">
      <w:pPr>
        <w:jc w:val="both"/>
        <w:rPr>
          <w:rFonts w:ascii="Aptos" w:hAnsi="Aptos"/>
        </w:rPr>
      </w:pPr>
      <w:r w:rsidRPr="009B4870">
        <w:rPr>
          <w:rFonts w:ascii="Aptos" w:hAnsi="Aptos"/>
        </w:rPr>
        <w:t>La spesa per l’acquisto di prestazioni psichiatriche residenziali e semiresidenziali erogata da privato accreditato è pari a circa 21 ml € (dati IV trim 2024). Attualmente sono circa 20 le strutture private che erogano tali prestazioni per la salute mentale e circa 6 che erogano prestazioni per le dipendenze patologiche.</w:t>
      </w:r>
    </w:p>
    <w:p w14:paraId="42982A7C" w14:textId="380A7F47" w:rsidR="0067463D" w:rsidRPr="009B4870" w:rsidRDefault="0067463D" w:rsidP="0067463D">
      <w:pPr>
        <w:jc w:val="both"/>
        <w:rPr>
          <w:rFonts w:ascii="Aptos" w:hAnsi="Aptos"/>
        </w:rPr>
      </w:pPr>
      <w:r w:rsidRPr="009B4870">
        <w:rPr>
          <w:rFonts w:ascii="Aptos" w:hAnsi="Aptos"/>
        </w:rPr>
        <w:t>Nel corso del 2025, per effetto dell’approvazione dei nuovi criteri per la definizione fabbisogni di posti letto per le strutture sociosanitarie residenziali e semiresidenziali per disabili, per la salute mentale e per le dipendenze patologiche di cui alle DGR n.</w:t>
      </w:r>
      <w:r w:rsidR="00234505">
        <w:rPr>
          <w:rFonts w:ascii="Aptos" w:hAnsi="Aptos"/>
        </w:rPr>
        <w:t xml:space="preserve"> </w:t>
      </w:r>
      <w:r w:rsidRPr="009B4870">
        <w:rPr>
          <w:rFonts w:ascii="Aptos" w:hAnsi="Aptos"/>
        </w:rPr>
        <w:t>551/2024, DGR n.</w:t>
      </w:r>
      <w:r w:rsidR="00234505">
        <w:rPr>
          <w:rFonts w:ascii="Aptos" w:hAnsi="Aptos"/>
        </w:rPr>
        <w:t xml:space="preserve"> </w:t>
      </w:r>
      <w:r w:rsidRPr="009B4870">
        <w:rPr>
          <w:rFonts w:ascii="Aptos" w:hAnsi="Aptos"/>
        </w:rPr>
        <w:t>552/2024 e DGR n.</w:t>
      </w:r>
      <w:r w:rsidR="00234505">
        <w:rPr>
          <w:rFonts w:ascii="Aptos" w:hAnsi="Aptos"/>
        </w:rPr>
        <w:t xml:space="preserve"> </w:t>
      </w:r>
      <w:r w:rsidRPr="009B4870">
        <w:rPr>
          <w:rFonts w:ascii="Aptos" w:hAnsi="Aptos"/>
        </w:rPr>
        <w:t xml:space="preserve">553/2024 (in corso di approvazione definitiva a seguito del parere favorevole della IV commissione consiliare), si rilasceranno nuove compatibilità ai sensi della LR n.28/2000 e pertanto nuove strutture saranno autorizzate all’apertura e all’esercizio, con il conseguente incremento dell’offerta di strutture. </w:t>
      </w:r>
    </w:p>
    <w:p w14:paraId="79D59236" w14:textId="0E3DEDE4" w:rsidR="0067463D" w:rsidRPr="0067463D" w:rsidRDefault="0067463D" w:rsidP="001D4962">
      <w:pPr>
        <w:jc w:val="both"/>
        <w:rPr>
          <w:b/>
          <w:bCs/>
          <w:u w:val="single"/>
        </w:rPr>
      </w:pPr>
      <w:r w:rsidRPr="0067463D">
        <w:rPr>
          <w:b/>
          <w:bCs/>
          <w:u w:val="single"/>
        </w:rPr>
        <w:t>ORGANISMO TECNICAMENTE ACCREDITANTE</w:t>
      </w:r>
      <w:r w:rsidR="004E1BF9">
        <w:rPr>
          <w:b/>
          <w:bCs/>
          <w:u w:val="single"/>
        </w:rPr>
        <w:t xml:space="preserve"> (OTA)</w:t>
      </w:r>
    </w:p>
    <w:p w14:paraId="21B699F0" w14:textId="09DAC040" w:rsidR="001D4962" w:rsidRDefault="008B7117" w:rsidP="001D4962">
      <w:pPr>
        <w:jc w:val="both"/>
      </w:pPr>
      <w:r>
        <w:t>La Regione</w:t>
      </w:r>
      <w:r w:rsidR="004A203A">
        <w:t>, cons</w:t>
      </w:r>
      <w:r>
        <w:t xml:space="preserve">cia </w:t>
      </w:r>
      <w:r w:rsidR="004A203A">
        <w:t xml:space="preserve">del ruolo </w:t>
      </w:r>
      <w:r w:rsidR="004E0947">
        <w:t xml:space="preserve">rilevante rivestito </w:t>
      </w:r>
      <w:r w:rsidR="004A203A">
        <w:t>d</w:t>
      </w:r>
      <w:r w:rsidR="004E0947">
        <w:t>a</w:t>
      </w:r>
      <w:r w:rsidR="004A203A">
        <w:t xml:space="preserve">lle strutture sanitarie e sociosanitarie private, che concorrono </w:t>
      </w:r>
      <w:r w:rsidR="00441C0D">
        <w:t xml:space="preserve">con quelle pubbliche </w:t>
      </w:r>
      <w:r w:rsidR="004A203A">
        <w:t xml:space="preserve">alla erogazione delle prestazioni rientranti nei livelli essenziali di assistenza, ha </w:t>
      </w:r>
      <w:r w:rsidR="001436EA">
        <w:t>prodotto</w:t>
      </w:r>
      <w:r w:rsidR="004A203A">
        <w:t xml:space="preserve"> un notevole sforzo per </w:t>
      </w:r>
      <w:r w:rsidR="00910EB1">
        <w:t xml:space="preserve">riattivare un processo fermo da tempo. </w:t>
      </w:r>
    </w:p>
    <w:p w14:paraId="55A01886" w14:textId="578AA68E" w:rsidR="00910EB1" w:rsidRDefault="00910EB1" w:rsidP="001D4962">
      <w:pPr>
        <w:jc w:val="both"/>
      </w:pPr>
      <w:r>
        <w:t>Ha così rafforzat</w:t>
      </w:r>
      <w:r w:rsidR="004E0947">
        <w:t>o</w:t>
      </w:r>
      <w:r>
        <w:t xml:space="preserve"> la dotazione del personale disponibile a collaborare alle attività di audit finalizzate all’accreditamento</w:t>
      </w:r>
      <w:r w:rsidR="004E0947">
        <w:t>,</w:t>
      </w:r>
      <w:r>
        <w:t xml:space="preserve"> </w:t>
      </w:r>
      <w:r w:rsidR="004E0947">
        <w:t xml:space="preserve">mediante </w:t>
      </w:r>
      <w:r>
        <w:t>due specifici bandi</w:t>
      </w:r>
      <w:r w:rsidR="004E0947">
        <w:t xml:space="preserve"> di reclutamento,</w:t>
      </w:r>
      <w:r>
        <w:t xml:space="preserve"> che </w:t>
      </w:r>
      <w:r w:rsidR="004E0947">
        <w:t>consentirà a breve</w:t>
      </w:r>
      <w:r>
        <w:t xml:space="preserve"> di aumentare di 56 unità il gruppo dei valutatori auditor</w:t>
      </w:r>
      <w:r w:rsidR="004E0947">
        <w:t>,</w:t>
      </w:r>
      <w:r>
        <w:t xml:space="preserve"> da utilizzare per le verifiche del possesso dei requisiti d’accreditamento delle strutture che ne facciano richiesta</w:t>
      </w:r>
      <w:r w:rsidR="004E0947">
        <w:t>,</w:t>
      </w:r>
      <w:r>
        <w:t xml:space="preserve"> e di 29 unità il gruppo degli esperti tecnici a supporto dei valutatori.</w:t>
      </w:r>
    </w:p>
    <w:p w14:paraId="675CADBD" w14:textId="34D2F7C3" w:rsidR="00910EB1" w:rsidRDefault="00910EB1" w:rsidP="001D4962">
      <w:pPr>
        <w:jc w:val="both"/>
      </w:pPr>
      <w:r>
        <w:t xml:space="preserve">Per 30 nuovi valutatori è stato avviato un percorso formativo di formazione abilitante al ruolo </w:t>
      </w:r>
      <w:r w:rsidR="00035972">
        <w:t xml:space="preserve">con il rilascio delle prescritte abilitazioni professionali da parte di enti certificatori </w:t>
      </w:r>
      <w:r>
        <w:t>e per 30 esperti tecnici un percorso di aggiornamento alle tecniche di valutazione della qualità e dell’accreditamento.</w:t>
      </w:r>
    </w:p>
    <w:p w14:paraId="1A29BA07" w14:textId="42B11F6B" w:rsidR="00910EB1" w:rsidRDefault="00910EB1" w:rsidP="001D4962">
      <w:pPr>
        <w:jc w:val="both"/>
      </w:pPr>
      <w:r>
        <w:t xml:space="preserve">Le prime edizioni dei corsi </w:t>
      </w:r>
      <w:r w:rsidR="00EE2E93">
        <w:t>partiranno il 7/8 marzo prossimo in due distinte aule a Potenza e Matera.</w:t>
      </w:r>
    </w:p>
    <w:p w14:paraId="2D610577" w14:textId="0BEFB8C5" w:rsidR="004E1BF9" w:rsidRDefault="00EE2E93" w:rsidP="00C60EB9">
      <w:pPr>
        <w:jc w:val="both"/>
      </w:pPr>
      <w:r>
        <w:t xml:space="preserve">Infine, con le risorse </w:t>
      </w:r>
      <w:r w:rsidR="004E0947">
        <w:t xml:space="preserve">umane </w:t>
      </w:r>
      <w:r>
        <w:t>attual</w:t>
      </w:r>
      <w:r w:rsidR="004E0947">
        <w:t>mente disponibili</w:t>
      </w:r>
      <w:r>
        <w:t xml:space="preserve">, sono state avviate le procedure di audit per 9 nuove istanze di accreditamento di primo e secondo livello, </w:t>
      </w:r>
      <w:r w:rsidR="001436EA">
        <w:t>con</w:t>
      </w:r>
      <w:r>
        <w:t xml:space="preserve"> un significativo incremento degli accreditamenti concessi rispetto al numero esiguo degli anni precedenti.</w:t>
      </w:r>
      <w:r w:rsidR="004E1BF9">
        <w:br w:type="page"/>
      </w:r>
    </w:p>
    <w:p w14:paraId="61CE6A21" w14:textId="3947F83C" w:rsidR="007453B0" w:rsidRPr="007C0E07" w:rsidRDefault="007453B0" w:rsidP="003F3D94">
      <w:pPr>
        <w:jc w:val="both"/>
        <w:rPr>
          <w:b/>
          <w:bCs/>
          <w:sz w:val="32"/>
          <w:szCs w:val="32"/>
          <w:u w:val="single"/>
        </w:rPr>
      </w:pPr>
      <w:r w:rsidRPr="007C0E07">
        <w:rPr>
          <w:b/>
          <w:bCs/>
          <w:u w:val="single"/>
        </w:rPr>
        <w:lastRenderedPageBreak/>
        <w:t>WELFARE</w:t>
      </w:r>
    </w:p>
    <w:p w14:paraId="3DE4D6E9" w14:textId="77777777" w:rsidR="004453FF" w:rsidRPr="004453FF" w:rsidRDefault="004453FF" w:rsidP="004453FF">
      <w:pPr>
        <w:spacing w:after="0"/>
        <w:jc w:val="both"/>
        <w:rPr>
          <w:b/>
        </w:rPr>
      </w:pPr>
      <w:r w:rsidRPr="004453FF">
        <w:rPr>
          <w:b/>
        </w:rPr>
        <w:t>FONDO NAZIONALE E REGIONALE POLITICHE SOCIALI - PIANI INTERCOMUNALI DEGLI AMBITI SOCIO TERRITORIALI</w:t>
      </w:r>
    </w:p>
    <w:p w14:paraId="0F156E55" w14:textId="1FEAC6C1" w:rsidR="004453FF" w:rsidRPr="004453FF" w:rsidRDefault="004453FF" w:rsidP="004453FF">
      <w:pPr>
        <w:widowControl w:val="0"/>
        <w:spacing w:after="0"/>
        <w:jc w:val="both"/>
      </w:pPr>
      <w:r w:rsidRPr="004453FF">
        <w:t xml:space="preserve">In attuazione del Piano nazionale degli interventi e dei servizi sociali (a breve, sarà adottato il decreto di approvazione del Piano 2024-2026), </w:t>
      </w:r>
      <w:r w:rsidR="004B2131">
        <w:t>l’assessorato provvede</w:t>
      </w:r>
      <w:r w:rsidRPr="004453FF">
        <w:t xml:space="preserve"> al trasferimento agli Ambiti Territoriali Sociali (ATS) delle risorse statali assegnate con il decreto di riparto del Fondo annuale Nazionale Politiche Sociali (FNPS). Si tratta del principale strumento di programmazione delle politiche sociali e di attivazione dei servizi sociali sul territorio regionale (aree Anziani, Disabili, Minori).</w:t>
      </w:r>
    </w:p>
    <w:p w14:paraId="44366382" w14:textId="77777777" w:rsidR="004453FF" w:rsidRPr="004453FF" w:rsidRDefault="004453FF" w:rsidP="004453FF">
      <w:pPr>
        <w:widowControl w:val="0"/>
        <w:spacing w:after="0"/>
        <w:jc w:val="both"/>
        <w:rPr>
          <w:b/>
        </w:rPr>
      </w:pPr>
      <w:r w:rsidRPr="004453FF">
        <w:t>Alle risorse statali vanno aggiunte quelle regionali che quest'anno si prevede saranno pari ad euro 23 milioni. Tale misura attiene alla costituzione del “Fondo per il finanziamento dei Servizi Sociali Regionali e il funzionamento degli Uffici del Piano Sociale e degli Uffici Sociali Comunali”, da finanziare con le risorse di cui alle Royalties destinate alla Regione Basilicata. Attraverso tale fondo si consente agli Ambiti Socio Territoriali di erogare provvidenze per giovani audiolesi e videolesi che studiano in istituti adatti alle loro specifiche esigenze, di erogare i contributi per le rette di minori fuori famiglia e le provvidenze economiche in favore dei figli naturali, di finanziare anche tutte le altre tipologie di interventi modulate all’interno dei singoli piani intercomunali secondo le esigenze della popolazione dell’Ambito Territoriale Sociale.</w:t>
      </w:r>
      <w:r w:rsidRPr="004453FF">
        <w:rPr>
          <w:b/>
        </w:rPr>
        <w:t xml:space="preserve"> </w:t>
      </w:r>
    </w:p>
    <w:p w14:paraId="43E6F0F6" w14:textId="77777777" w:rsidR="004B2131" w:rsidRDefault="004453FF" w:rsidP="004453FF">
      <w:pPr>
        <w:widowControl w:val="0"/>
        <w:spacing w:after="0"/>
        <w:jc w:val="both"/>
        <w:rPr>
          <w:bCs/>
        </w:rPr>
      </w:pPr>
      <w:r w:rsidRPr="004453FF">
        <w:rPr>
          <w:bCs/>
        </w:rPr>
        <w:t xml:space="preserve">S'intende dare stabilità a questa misura finanziaria regionale per far sì che gli Ambiti Territoriali Sociali possano garantire la continuità dei servizi erogati, migliorando e potenziandone l’offerta. </w:t>
      </w:r>
    </w:p>
    <w:p w14:paraId="759447A4" w14:textId="1CA05C22" w:rsidR="004453FF" w:rsidRPr="004453FF" w:rsidRDefault="004453FF" w:rsidP="004453FF">
      <w:pPr>
        <w:widowControl w:val="0"/>
        <w:spacing w:after="0"/>
        <w:jc w:val="both"/>
        <w:rPr>
          <w:bCs/>
        </w:rPr>
      </w:pPr>
      <w:r w:rsidRPr="004453FF">
        <w:rPr>
          <w:bCs/>
        </w:rPr>
        <w:t xml:space="preserve">Tale esigenza è emersa nel corso di </w:t>
      </w:r>
      <w:r w:rsidR="004B2131" w:rsidRPr="004453FF">
        <w:rPr>
          <w:bCs/>
        </w:rPr>
        <w:t>primi incontri</w:t>
      </w:r>
      <w:r w:rsidRPr="004453FF">
        <w:rPr>
          <w:bCs/>
        </w:rPr>
        <w:t>, che si stanno svolgendo sul territorio con i Sindaci degli Ambiti Territoriali Sociali quale momento di confronto, di ascolto e di analisi dei bisogni espressi dal territorio</w:t>
      </w:r>
      <w:r w:rsidR="004B2131">
        <w:rPr>
          <w:bCs/>
        </w:rPr>
        <w:t xml:space="preserve"> e quest’azione costituisce la prima e fondamentale risposta alle necessità del territorio.</w:t>
      </w:r>
    </w:p>
    <w:p w14:paraId="254F696A" w14:textId="77777777" w:rsidR="003F3D94" w:rsidRPr="00B42E50" w:rsidRDefault="003F3D94" w:rsidP="003F3D94">
      <w:pPr>
        <w:pStyle w:val="ProvinciaTesto"/>
        <w:ind w:left="0"/>
        <w:rPr>
          <w:rFonts w:asciiTheme="minorHAnsi" w:hAnsiTheme="minorHAnsi"/>
          <w:i/>
          <w:sz w:val="22"/>
          <w:u w:val="single"/>
        </w:rPr>
      </w:pPr>
    </w:p>
    <w:p w14:paraId="11BB339A" w14:textId="2A5A522D" w:rsidR="004B2131" w:rsidRPr="00B42E50" w:rsidRDefault="004B2131" w:rsidP="003F3D94">
      <w:pPr>
        <w:pStyle w:val="ProvinciaTesto"/>
        <w:ind w:left="0"/>
        <w:rPr>
          <w:rFonts w:asciiTheme="minorHAnsi" w:hAnsiTheme="minorHAnsi"/>
          <w:i/>
          <w:sz w:val="22"/>
          <w:u w:val="single"/>
        </w:rPr>
      </w:pPr>
      <w:r w:rsidRPr="00B42E50">
        <w:rPr>
          <w:rFonts w:asciiTheme="minorHAnsi" w:hAnsiTheme="minorHAnsi"/>
          <w:i/>
          <w:sz w:val="22"/>
          <w:u w:val="single"/>
        </w:rPr>
        <w:t>RISORSE MESSE IN CAMPO IN VARI AMBITI DEL SISTEMA REGIONALE DI WELFARE</w:t>
      </w:r>
    </w:p>
    <w:p w14:paraId="769E43F6" w14:textId="77777777" w:rsidR="004B2131" w:rsidRDefault="004B2131" w:rsidP="003F3D94">
      <w:pPr>
        <w:pStyle w:val="ProvinciaTesto"/>
        <w:ind w:left="0"/>
        <w:rPr>
          <w:rFonts w:asciiTheme="minorHAnsi" w:hAnsiTheme="minorHAnsi"/>
          <w:sz w:val="22"/>
        </w:rPr>
      </w:pPr>
    </w:p>
    <w:p w14:paraId="57F30BCA" w14:textId="66894EBC" w:rsidR="004B2131" w:rsidRDefault="008B7117" w:rsidP="003F3D94">
      <w:pPr>
        <w:pStyle w:val="ProvinciaTesto"/>
        <w:ind w:left="0"/>
        <w:rPr>
          <w:rFonts w:asciiTheme="minorHAnsi" w:hAnsiTheme="minorHAnsi"/>
          <w:sz w:val="22"/>
        </w:rPr>
      </w:pPr>
      <w:r>
        <w:rPr>
          <w:rFonts w:asciiTheme="minorHAnsi" w:hAnsiTheme="minorHAnsi"/>
          <w:sz w:val="22"/>
        </w:rPr>
        <w:t>La Regione</w:t>
      </w:r>
      <w:r w:rsidR="00605C8A">
        <w:rPr>
          <w:rFonts w:asciiTheme="minorHAnsi" w:hAnsiTheme="minorHAnsi"/>
          <w:sz w:val="22"/>
        </w:rPr>
        <w:t>, consapevole della necessità di garantire un sistema d</w:t>
      </w:r>
      <w:r w:rsidR="0084645F">
        <w:rPr>
          <w:rFonts w:asciiTheme="minorHAnsi" w:hAnsiTheme="minorHAnsi"/>
          <w:sz w:val="22"/>
        </w:rPr>
        <w:t>i welfare efficace, efficiente,</w:t>
      </w:r>
      <w:r w:rsidR="00605C8A">
        <w:rPr>
          <w:rFonts w:asciiTheme="minorHAnsi" w:hAnsiTheme="minorHAnsi"/>
          <w:sz w:val="22"/>
        </w:rPr>
        <w:t xml:space="preserve"> inclusivo e trasparente ha messo a disposizione risorse complessive per </w:t>
      </w:r>
      <w:r w:rsidR="00F45DDC">
        <w:rPr>
          <w:rFonts w:asciiTheme="minorHAnsi" w:hAnsiTheme="minorHAnsi"/>
          <w:sz w:val="22"/>
        </w:rPr>
        <w:t>circa 51 milioni</w:t>
      </w:r>
      <w:r w:rsidR="00605C8A">
        <w:rPr>
          <w:rFonts w:asciiTheme="minorHAnsi" w:hAnsiTheme="minorHAnsi"/>
          <w:sz w:val="22"/>
        </w:rPr>
        <w:t xml:space="preserve"> di euro, in diversi ambiti del bisogno sociale, della marginalità e della fragilità.</w:t>
      </w:r>
    </w:p>
    <w:p w14:paraId="02DAB427" w14:textId="2F55E403" w:rsidR="00605C8A" w:rsidRDefault="00605C8A" w:rsidP="003F3D94">
      <w:pPr>
        <w:pStyle w:val="ProvinciaTesto"/>
        <w:ind w:left="0"/>
        <w:rPr>
          <w:rFonts w:asciiTheme="minorHAnsi" w:hAnsiTheme="minorHAnsi"/>
          <w:sz w:val="22"/>
        </w:rPr>
      </w:pPr>
      <w:r>
        <w:rPr>
          <w:rFonts w:asciiTheme="minorHAnsi" w:hAnsiTheme="minorHAnsi"/>
          <w:sz w:val="22"/>
        </w:rPr>
        <w:t>Si citano nel dettaglio:</w:t>
      </w:r>
    </w:p>
    <w:p w14:paraId="173F4594" w14:textId="77777777" w:rsidR="00605C8A" w:rsidRDefault="00605C8A" w:rsidP="003F3D94">
      <w:pPr>
        <w:pStyle w:val="ProvinciaTesto"/>
        <w:ind w:left="0"/>
        <w:rPr>
          <w:rFonts w:asciiTheme="minorHAnsi" w:hAnsiTheme="minorHAnsi"/>
          <w:sz w:val="22"/>
        </w:rPr>
      </w:pPr>
    </w:p>
    <w:p w14:paraId="6EFA8923" w14:textId="5068E5D8" w:rsidR="00605C8A" w:rsidRDefault="00605C8A" w:rsidP="00605C8A">
      <w:pPr>
        <w:pStyle w:val="ProvinciaTesto"/>
        <w:numPr>
          <w:ilvl w:val="0"/>
          <w:numId w:val="24"/>
        </w:numPr>
        <w:rPr>
          <w:rFonts w:asciiTheme="minorHAnsi" w:hAnsiTheme="minorHAnsi"/>
          <w:sz w:val="22"/>
        </w:rPr>
      </w:pPr>
      <w:r w:rsidRPr="00605C8A">
        <w:rPr>
          <w:rFonts w:asciiTheme="minorHAnsi" w:hAnsiTheme="minorHAnsi"/>
          <w:b/>
          <w:bCs/>
          <w:sz w:val="22"/>
        </w:rPr>
        <w:t>euro 2.572.0</w:t>
      </w:r>
      <w:r w:rsidR="00F45DDC">
        <w:rPr>
          <w:rFonts w:asciiTheme="minorHAnsi" w:hAnsiTheme="minorHAnsi"/>
          <w:b/>
          <w:bCs/>
          <w:sz w:val="22"/>
        </w:rPr>
        <w:t>00</w:t>
      </w:r>
      <w:r>
        <w:rPr>
          <w:rFonts w:asciiTheme="minorHAnsi" w:hAnsiTheme="minorHAnsi"/>
          <w:sz w:val="22"/>
        </w:rPr>
        <w:t xml:space="preserve">, per progetti </w:t>
      </w:r>
      <w:r w:rsidRPr="00605C8A">
        <w:rPr>
          <w:rFonts w:asciiTheme="minorHAnsi" w:hAnsiTheme="minorHAnsi"/>
          <w:sz w:val="22"/>
        </w:rPr>
        <w:t>volti alla promozione del benessere e della qualità della vita delle persone con disturbo dello spettro autistico, assistite in un contesto più ampio di inclusione sociale</w:t>
      </w:r>
      <w:r>
        <w:rPr>
          <w:rFonts w:asciiTheme="minorHAnsi" w:hAnsiTheme="minorHAnsi"/>
          <w:sz w:val="22"/>
        </w:rPr>
        <w:t xml:space="preserve">, di cui </w:t>
      </w:r>
      <w:r w:rsidRPr="00605C8A">
        <w:rPr>
          <w:rFonts w:asciiTheme="minorHAnsi" w:hAnsiTheme="minorHAnsi"/>
          <w:sz w:val="22"/>
        </w:rPr>
        <w:t xml:space="preserve">euro 520.000 per il </w:t>
      </w:r>
      <w:r w:rsidR="008F4F10" w:rsidRPr="00605C8A">
        <w:rPr>
          <w:rFonts w:asciiTheme="minorHAnsi" w:hAnsiTheme="minorHAnsi"/>
          <w:sz w:val="22"/>
        </w:rPr>
        <w:t>finanziamento di</w:t>
      </w:r>
      <w:r w:rsidRPr="00605C8A">
        <w:rPr>
          <w:rFonts w:asciiTheme="minorHAnsi" w:hAnsiTheme="minorHAnsi"/>
          <w:sz w:val="22"/>
        </w:rPr>
        <w:t xml:space="preserve"> 17 progetti nelle aree di intervento, che riguardano l’inclusione lavorativa, le attività sociali e i percorsi di socializzazione</w:t>
      </w:r>
      <w:r>
        <w:rPr>
          <w:rFonts w:asciiTheme="minorHAnsi" w:hAnsiTheme="minorHAnsi"/>
          <w:sz w:val="22"/>
        </w:rPr>
        <w:t>;</w:t>
      </w:r>
    </w:p>
    <w:p w14:paraId="75AC7C28" w14:textId="485BBA0E" w:rsidR="008F4F10" w:rsidRDefault="008F4F10" w:rsidP="00605C8A">
      <w:pPr>
        <w:pStyle w:val="ProvinciaTesto"/>
        <w:numPr>
          <w:ilvl w:val="0"/>
          <w:numId w:val="24"/>
        </w:numPr>
        <w:rPr>
          <w:rFonts w:asciiTheme="minorHAnsi" w:hAnsiTheme="minorHAnsi"/>
          <w:sz w:val="22"/>
        </w:rPr>
      </w:pPr>
      <w:r w:rsidRPr="008F4F10">
        <w:rPr>
          <w:rFonts w:asciiTheme="minorHAnsi" w:hAnsiTheme="minorHAnsi"/>
          <w:b/>
          <w:bCs/>
          <w:sz w:val="22"/>
        </w:rPr>
        <w:t>euro 600.000</w:t>
      </w:r>
      <w:r w:rsidRPr="008F4F10">
        <w:rPr>
          <w:rFonts w:asciiTheme="minorHAnsi" w:hAnsiTheme="minorHAnsi"/>
          <w:sz w:val="22"/>
        </w:rPr>
        <w:t xml:space="preserve"> per finanziare interventi e progetti attuati dai Comuni, anche in forma associata, relativamente alla riqualificazione di strutture semiresidenziali per persone con disabilità</w:t>
      </w:r>
      <w:r>
        <w:rPr>
          <w:rFonts w:asciiTheme="minorHAnsi" w:hAnsiTheme="minorHAnsi"/>
          <w:sz w:val="22"/>
        </w:rPr>
        <w:t xml:space="preserve">, nell’ambito </w:t>
      </w:r>
      <w:r w:rsidRPr="008F4F10">
        <w:rPr>
          <w:rFonts w:asciiTheme="minorHAnsi" w:hAnsiTheme="minorHAnsi"/>
          <w:sz w:val="22"/>
        </w:rPr>
        <w:t xml:space="preserve">delle risorse </w:t>
      </w:r>
      <w:r>
        <w:rPr>
          <w:rFonts w:asciiTheme="minorHAnsi" w:hAnsiTheme="minorHAnsi"/>
          <w:sz w:val="22"/>
        </w:rPr>
        <w:t xml:space="preserve">assegnate alla Basilicata </w:t>
      </w:r>
      <w:r w:rsidRPr="008F4F10">
        <w:rPr>
          <w:rFonts w:asciiTheme="minorHAnsi" w:hAnsiTheme="minorHAnsi"/>
          <w:sz w:val="22"/>
        </w:rPr>
        <w:t>afferenti al Fondo per l’inclusione delle persone con disabilità</w:t>
      </w:r>
      <w:r>
        <w:rPr>
          <w:rFonts w:asciiTheme="minorHAnsi" w:hAnsiTheme="minorHAnsi"/>
          <w:sz w:val="22"/>
        </w:rPr>
        <w:t>;</w:t>
      </w:r>
    </w:p>
    <w:p w14:paraId="74601B19" w14:textId="6A815306" w:rsidR="008F4F10" w:rsidRDefault="008F4F10" w:rsidP="00605C8A">
      <w:pPr>
        <w:pStyle w:val="ProvinciaTesto"/>
        <w:numPr>
          <w:ilvl w:val="0"/>
          <w:numId w:val="24"/>
        </w:numPr>
        <w:rPr>
          <w:rFonts w:asciiTheme="minorHAnsi" w:hAnsiTheme="minorHAnsi"/>
          <w:sz w:val="22"/>
        </w:rPr>
      </w:pPr>
      <w:r>
        <w:rPr>
          <w:rFonts w:asciiTheme="minorHAnsi" w:hAnsiTheme="minorHAnsi"/>
          <w:b/>
          <w:bCs/>
          <w:sz w:val="22"/>
        </w:rPr>
        <w:t xml:space="preserve">euro </w:t>
      </w:r>
      <w:r w:rsidRPr="008F4F10">
        <w:rPr>
          <w:rFonts w:asciiTheme="minorHAnsi" w:hAnsiTheme="minorHAnsi"/>
          <w:b/>
          <w:bCs/>
          <w:sz w:val="22"/>
        </w:rPr>
        <w:t>270.00</w:t>
      </w:r>
      <w:r w:rsidR="00311603">
        <w:rPr>
          <w:rFonts w:asciiTheme="minorHAnsi" w:hAnsiTheme="minorHAnsi"/>
          <w:b/>
          <w:bCs/>
          <w:sz w:val="22"/>
        </w:rPr>
        <w:t>0</w:t>
      </w:r>
      <w:r w:rsidRPr="008F4F10">
        <w:rPr>
          <w:rFonts w:asciiTheme="minorHAnsi" w:hAnsiTheme="minorHAnsi"/>
          <w:b/>
          <w:bCs/>
          <w:sz w:val="22"/>
        </w:rPr>
        <w:t>,00 annui</w:t>
      </w:r>
      <w:r>
        <w:rPr>
          <w:rFonts w:asciiTheme="minorHAnsi" w:hAnsiTheme="minorHAnsi"/>
          <w:b/>
          <w:bCs/>
          <w:sz w:val="22"/>
        </w:rPr>
        <w:t xml:space="preserve"> </w:t>
      </w:r>
      <w:r>
        <w:rPr>
          <w:rFonts w:asciiTheme="minorHAnsi" w:hAnsiTheme="minorHAnsi"/>
          <w:sz w:val="22"/>
        </w:rPr>
        <w:t>per le politiche di sostegno ai caregiver familiari;</w:t>
      </w:r>
    </w:p>
    <w:p w14:paraId="16833BC6" w14:textId="0F2580EF" w:rsidR="008F4F10" w:rsidRDefault="008F4F10" w:rsidP="00605C8A">
      <w:pPr>
        <w:pStyle w:val="ProvinciaTesto"/>
        <w:numPr>
          <w:ilvl w:val="0"/>
          <w:numId w:val="24"/>
        </w:numPr>
        <w:rPr>
          <w:rFonts w:asciiTheme="minorHAnsi" w:hAnsiTheme="minorHAnsi"/>
          <w:sz w:val="22"/>
        </w:rPr>
      </w:pPr>
      <w:r>
        <w:rPr>
          <w:rFonts w:asciiTheme="minorHAnsi" w:hAnsiTheme="minorHAnsi"/>
          <w:b/>
          <w:bCs/>
          <w:sz w:val="22"/>
        </w:rPr>
        <w:t xml:space="preserve"> euro </w:t>
      </w:r>
      <w:r w:rsidRPr="008F4F10">
        <w:rPr>
          <w:rFonts w:asciiTheme="minorHAnsi" w:hAnsiTheme="minorHAnsi"/>
          <w:b/>
          <w:bCs/>
          <w:sz w:val="22"/>
        </w:rPr>
        <w:t>8</w:t>
      </w:r>
      <w:r>
        <w:rPr>
          <w:rFonts w:asciiTheme="minorHAnsi" w:hAnsiTheme="minorHAnsi"/>
          <w:b/>
          <w:bCs/>
          <w:sz w:val="22"/>
        </w:rPr>
        <w:t>.</w:t>
      </w:r>
      <w:r w:rsidRPr="008F4F10">
        <w:rPr>
          <w:rFonts w:asciiTheme="minorHAnsi" w:hAnsiTheme="minorHAnsi"/>
          <w:b/>
          <w:bCs/>
          <w:sz w:val="22"/>
        </w:rPr>
        <w:t>6</w:t>
      </w:r>
      <w:r>
        <w:rPr>
          <w:rFonts w:asciiTheme="minorHAnsi" w:hAnsiTheme="minorHAnsi"/>
          <w:b/>
          <w:bCs/>
          <w:sz w:val="22"/>
        </w:rPr>
        <w:t xml:space="preserve">00.000 </w:t>
      </w:r>
      <w:r>
        <w:rPr>
          <w:rFonts w:asciiTheme="minorHAnsi" w:hAnsiTheme="minorHAnsi"/>
          <w:sz w:val="22"/>
        </w:rPr>
        <w:t xml:space="preserve">per il triennio 2022-2024 </w:t>
      </w:r>
      <w:r w:rsidR="00311603" w:rsidRPr="00311603">
        <w:rPr>
          <w:rFonts w:asciiTheme="minorHAnsi" w:hAnsiTheme="minorHAnsi"/>
          <w:sz w:val="22"/>
        </w:rPr>
        <w:t>di cui al Fondo Non Autosufficienza (FNA)</w:t>
      </w:r>
      <w:r w:rsidR="00311603">
        <w:rPr>
          <w:rFonts w:asciiTheme="minorHAnsi" w:hAnsiTheme="minorHAnsi"/>
          <w:sz w:val="22"/>
        </w:rPr>
        <w:t xml:space="preserve"> per il finanziamento delle misure </w:t>
      </w:r>
      <w:r w:rsidR="00E406EC">
        <w:rPr>
          <w:rFonts w:asciiTheme="minorHAnsi" w:hAnsiTheme="minorHAnsi"/>
          <w:sz w:val="22"/>
        </w:rPr>
        <w:t>degli Assegni</w:t>
      </w:r>
      <w:r w:rsidR="00311603" w:rsidRPr="00311603">
        <w:rPr>
          <w:rFonts w:asciiTheme="minorHAnsi" w:hAnsiTheme="minorHAnsi"/>
          <w:sz w:val="22"/>
        </w:rPr>
        <w:t xml:space="preserve"> di cura e </w:t>
      </w:r>
      <w:r w:rsidR="00311603">
        <w:rPr>
          <w:rFonts w:asciiTheme="minorHAnsi" w:hAnsiTheme="minorHAnsi"/>
          <w:sz w:val="22"/>
        </w:rPr>
        <w:t xml:space="preserve">dei </w:t>
      </w:r>
      <w:r w:rsidR="00311603" w:rsidRPr="00311603">
        <w:rPr>
          <w:rFonts w:asciiTheme="minorHAnsi" w:hAnsiTheme="minorHAnsi"/>
          <w:sz w:val="22"/>
        </w:rPr>
        <w:t>voucher</w:t>
      </w:r>
      <w:r w:rsidR="00311603">
        <w:rPr>
          <w:rFonts w:asciiTheme="minorHAnsi" w:hAnsiTheme="minorHAnsi"/>
          <w:sz w:val="22"/>
        </w:rPr>
        <w:t>, quali modalità attraverso cui realizzare un</w:t>
      </w:r>
      <w:r w:rsidR="00311603" w:rsidRPr="00311603">
        <w:rPr>
          <w:rFonts w:asciiTheme="minorHAnsi" w:hAnsiTheme="minorHAnsi"/>
          <w:sz w:val="22"/>
        </w:rPr>
        <w:t xml:space="preserve"> sostegno </w:t>
      </w:r>
      <w:r w:rsidR="00311603">
        <w:rPr>
          <w:rFonts w:asciiTheme="minorHAnsi" w:hAnsiTheme="minorHAnsi"/>
          <w:sz w:val="22"/>
        </w:rPr>
        <w:t>agli</w:t>
      </w:r>
      <w:r w:rsidR="00311603" w:rsidRPr="00311603">
        <w:rPr>
          <w:rFonts w:asciiTheme="minorHAnsi" w:hAnsiTheme="minorHAnsi"/>
          <w:sz w:val="22"/>
        </w:rPr>
        <w:t xml:space="preserve"> anziani non autosufficienti e </w:t>
      </w:r>
      <w:r w:rsidR="00311603">
        <w:rPr>
          <w:rFonts w:asciiTheme="minorHAnsi" w:hAnsiTheme="minorHAnsi"/>
          <w:sz w:val="22"/>
        </w:rPr>
        <w:t>alle</w:t>
      </w:r>
      <w:r w:rsidR="00311603" w:rsidRPr="00311603">
        <w:rPr>
          <w:rFonts w:asciiTheme="minorHAnsi" w:hAnsiTheme="minorHAnsi"/>
          <w:sz w:val="22"/>
        </w:rPr>
        <w:t xml:space="preserve"> persone con disabilità</w:t>
      </w:r>
      <w:r w:rsidR="00311603">
        <w:rPr>
          <w:rFonts w:asciiTheme="minorHAnsi" w:hAnsiTheme="minorHAnsi"/>
          <w:sz w:val="22"/>
        </w:rPr>
        <w:t xml:space="preserve">: misura </w:t>
      </w:r>
      <w:proofErr w:type="spellStart"/>
      <w:r w:rsidR="00311603" w:rsidRPr="00311603">
        <w:rPr>
          <w:rFonts w:asciiTheme="minorHAnsi" w:hAnsiTheme="minorHAnsi"/>
          <w:sz w:val="22"/>
        </w:rPr>
        <w:t>app</w:t>
      </w:r>
      <w:proofErr w:type="spellEnd"/>
      <w:r w:rsidR="004B53EF">
        <w:rPr>
          <w:rFonts w:asciiTheme="minorHAnsi" w:hAnsiTheme="minorHAnsi"/>
          <w:sz w:val="22"/>
        </w:rPr>
        <w:t xml:space="preserve"> </w:t>
      </w:r>
      <w:proofErr w:type="spellStart"/>
      <w:r w:rsidR="00311603" w:rsidRPr="00311603">
        <w:rPr>
          <w:rFonts w:asciiTheme="minorHAnsi" w:hAnsiTheme="minorHAnsi"/>
          <w:sz w:val="22"/>
        </w:rPr>
        <w:t>rovata</w:t>
      </w:r>
      <w:proofErr w:type="spellEnd"/>
      <w:r w:rsidR="00311603" w:rsidRPr="00311603">
        <w:rPr>
          <w:rFonts w:asciiTheme="minorHAnsi" w:hAnsiTheme="minorHAnsi"/>
          <w:sz w:val="22"/>
        </w:rPr>
        <w:t xml:space="preserve"> con delibera n. 654 del 4/11/2024 dalla Giunta Regionale su proposta dell’Assessor</w:t>
      </w:r>
      <w:r w:rsidR="00311603">
        <w:rPr>
          <w:rFonts w:asciiTheme="minorHAnsi" w:hAnsiTheme="minorHAnsi"/>
          <w:sz w:val="22"/>
        </w:rPr>
        <w:t>ato;</w:t>
      </w:r>
    </w:p>
    <w:p w14:paraId="0BF6D733" w14:textId="62EE9CD2" w:rsidR="00311603" w:rsidRDefault="00311603" w:rsidP="00605C8A">
      <w:pPr>
        <w:pStyle w:val="ProvinciaTesto"/>
        <w:numPr>
          <w:ilvl w:val="0"/>
          <w:numId w:val="24"/>
        </w:numPr>
        <w:rPr>
          <w:rFonts w:asciiTheme="minorHAnsi" w:hAnsiTheme="minorHAnsi"/>
          <w:sz w:val="22"/>
        </w:rPr>
      </w:pPr>
      <w:r>
        <w:rPr>
          <w:rFonts w:asciiTheme="minorHAnsi" w:hAnsiTheme="minorHAnsi"/>
          <w:b/>
          <w:bCs/>
          <w:sz w:val="22"/>
        </w:rPr>
        <w:t xml:space="preserve">Euro 900.000 </w:t>
      </w:r>
      <w:r w:rsidR="00B43FCE" w:rsidRPr="00B43FCE">
        <w:rPr>
          <w:rFonts w:asciiTheme="minorHAnsi" w:hAnsiTheme="minorHAnsi"/>
          <w:sz w:val="22"/>
        </w:rPr>
        <w:t>per le azioni volte alla realizzazione dei progetti di vita indipendente</w:t>
      </w:r>
      <w:r w:rsidR="00B43FCE">
        <w:rPr>
          <w:rFonts w:asciiTheme="minorHAnsi" w:hAnsiTheme="minorHAnsi"/>
          <w:sz w:val="22"/>
        </w:rPr>
        <w:t xml:space="preserve">, nell’ambito del </w:t>
      </w:r>
      <w:r w:rsidR="00B43FCE" w:rsidRPr="00B43FCE">
        <w:rPr>
          <w:rFonts w:asciiTheme="minorHAnsi" w:hAnsiTheme="minorHAnsi"/>
          <w:sz w:val="22"/>
        </w:rPr>
        <w:t>Piano Triennale Nazionale per la non autosufficienza</w:t>
      </w:r>
      <w:r w:rsidR="00B43FCE">
        <w:rPr>
          <w:rFonts w:asciiTheme="minorHAnsi" w:hAnsiTheme="minorHAnsi"/>
          <w:sz w:val="22"/>
        </w:rPr>
        <w:t xml:space="preserve"> </w:t>
      </w:r>
      <w:r w:rsidR="00B43FCE" w:rsidRPr="00B43FCE">
        <w:rPr>
          <w:rFonts w:asciiTheme="minorHAnsi" w:hAnsiTheme="minorHAnsi"/>
          <w:sz w:val="22"/>
        </w:rPr>
        <w:t>si armonizzano con quelli previsti dal Piano Nazionale di Ripresa e Resilienza (PNRR), che preved</w:t>
      </w:r>
      <w:r w:rsidR="00B43FCE">
        <w:rPr>
          <w:rFonts w:asciiTheme="minorHAnsi" w:hAnsiTheme="minorHAnsi"/>
          <w:sz w:val="22"/>
        </w:rPr>
        <w:t>e</w:t>
      </w:r>
      <w:r w:rsidR="00B43FCE" w:rsidRPr="00B43FCE">
        <w:rPr>
          <w:rFonts w:asciiTheme="minorHAnsi" w:hAnsiTheme="minorHAnsi"/>
          <w:sz w:val="22"/>
        </w:rPr>
        <w:t xml:space="preserve"> progetti coerenti con le misure già in essere afferenti al Fondo per il dopo di noi</w:t>
      </w:r>
      <w:r w:rsidR="00B43FCE">
        <w:rPr>
          <w:rFonts w:asciiTheme="minorHAnsi" w:hAnsiTheme="minorHAnsi"/>
          <w:sz w:val="22"/>
        </w:rPr>
        <w:t>;</w:t>
      </w:r>
    </w:p>
    <w:p w14:paraId="4E28CC9E" w14:textId="6762FB68" w:rsidR="00B43FCE" w:rsidRDefault="00B43FCE" w:rsidP="00605C8A">
      <w:pPr>
        <w:pStyle w:val="ProvinciaTesto"/>
        <w:numPr>
          <w:ilvl w:val="0"/>
          <w:numId w:val="24"/>
        </w:numPr>
        <w:rPr>
          <w:rFonts w:asciiTheme="minorHAnsi" w:hAnsiTheme="minorHAnsi"/>
          <w:sz w:val="22"/>
        </w:rPr>
      </w:pPr>
      <w:r>
        <w:rPr>
          <w:rFonts w:asciiTheme="minorHAnsi" w:hAnsiTheme="minorHAnsi"/>
          <w:b/>
          <w:bCs/>
          <w:sz w:val="22"/>
        </w:rPr>
        <w:t xml:space="preserve">Euro </w:t>
      </w:r>
      <w:r w:rsidRPr="00B43FCE">
        <w:rPr>
          <w:rFonts w:asciiTheme="minorHAnsi" w:hAnsiTheme="minorHAnsi"/>
          <w:b/>
          <w:bCs/>
          <w:sz w:val="22"/>
        </w:rPr>
        <w:t xml:space="preserve">15.000.000,00 </w:t>
      </w:r>
      <w:r w:rsidRPr="00B43FCE">
        <w:rPr>
          <w:rFonts w:asciiTheme="minorHAnsi" w:hAnsiTheme="minorHAnsi"/>
          <w:sz w:val="22"/>
        </w:rPr>
        <w:t>a cui si aggiungono circa</w:t>
      </w:r>
      <w:r w:rsidRPr="00B43FCE">
        <w:rPr>
          <w:rFonts w:asciiTheme="minorHAnsi" w:hAnsiTheme="minorHAnsi"/>
          <w:b/>
          <w:bCs/>
          <w:sz w:val="22"/>
        </w:rPr>
        <w:t xml:space="preserve"> </w:t>
      </w:r>
      <w:r>
        <w:rPr>
          <w:rFonts w:asciiTheme="minorHAnsi" w:hAnsiTheme="minorHAnsi"/>
          <w:b/>
          <w:bCs/>
          <w:sz w:val="22"/>
        </w:rPr>
        <w:t xml:space="preserve">€ </w:t>
      </w:r>
      <w:r w:rsidRPr="00B43FCE">
        <w:rPr>
          <w:rFonts w:asciiTheme="minorHAnsi" w:hAnsiTheme="minorHAnsi"/>
          <w:b/>
          <w:bCs/>
          <w:sz w:val="22"/>
        </w:rPr>
        <w:t xml:space="preserve">11.000.000,00 </w:t>
      </w:r>
      <w:r w:rsidRPr="00B43FCE">
        <w:rPr>
          <w:rFonts w:asciiTheme="minorHAnsi" w:hAnsiTheme="minorHAnsi"/>
          <w:sz w:val="22"/>
        </w:rPr>
        <w:t>relativi alla programmazione 2018-2020</w:t>
      </w:r>
      <w:r>
        <w:rPr>
          <w:rFonts w:asciiTheme="minorHAnsi" w:hAnsiTheme="minorHAnsi"/>
          <w:sz w:val="22"/>
        </w:rPr>
        <w:t>,</w:t>
      </w:r>
      <w:r w:rsidRPr="00B43FCE">
        <w:rPr>
          <w:rFonts w:asciiTheme="minorHAnsi" w:hAnsiTheme="minorHAnsi"/>
          <w:sz w:val="22"/>
        </w:rPr>
        <w:t xml:space="preserve"> recentemente resi disponibili grazie al lavoro dell’ufficio</w:t>
      </w:r>
      <w:r>
        <w:rPr>
          <w:rFonts w:asciiTheme="minorHAnsi" w:hAnsiTheme="minorHAnsi"/>
          <w:sz w:val="22"/>
        </w:rPr>
        <w:t xml:space="preserve">, </w:t>
      </w:r>
      <w:r w:rsidR="004B53EF">
        <w:rPr>
          <w:rFonts w:asciiTheme="minorHAnsi" w:hAnsiTheme="minorHAnsi"/>
          <w:sz w:val="22"/>
        </w:rPr>
        <w:t xml:space="preserve">relativi al </w:t>
      </w:r>
      <w:r w:rsidR="004B53EF" w:rsidRPr="004B53EF">
        <w:rPr>
          <w:rFonts w:asciiTheme="minorHAnsi" w:hAnsiTheme="minorHAnsi"/>
          <w:sz w:val="22"/>
        </w:rPr>
        <w:t>Fondo Povertà utilizzato per il finanziamento degli interventi previsti dal Piano nazionale per il contrasto alla povertà</w:t>
      </w:r>
      <w:r w:rsidR="004B53EF">
        <w:rPr>
          <w:rFonts w:asciiTheme="minorHAnsi" w:hAnsiTheme="minorHAnsi"/>
          <w:sz w:val="22"/>
        </w:rPr>
        <w:t xml:space="preserve"> </w:t>
      </w:r>
      <w:r w:rsidR="004B53EF" w:rsidRPr="004B53EF">
        <w:rPr>
          <w:rFonts w:asciiTheme="minorHAnsi" w:hAnsiTheme="minorHAnsi"/>
          <w:sz w:val="22"/>
        </w:rPr>
        <w:t xml:space="preserve">e, in particolare, per il rafforzamento dei servizi di accompagnamento dei nuclei familiari beneficiari del Assegno di inclusione e platea allargata </w:t>
      </w:r>
      <w:r w:rsidR="004B53EF">
        <w:rPr>
          <w:rFonts w:asciiTheme="minorHAnsi" w:hAnsiTheme="minorHAnsi"/>
          <w:sz w:val="22"/>
        </w:rPr>
        <w:t xml:space="preserve">(ex </w:t>
      </w:r>
      <w:r w:rsidR="004B53EF" w:rsidRPr="004B53EF">
        <w:rPr>
          <w:rFonts w:asciiTheme="minorHAnsi" w:hAnsiTheme="minorHAnsi"/>
          <w:sz w:val="22"/>
        </w:rPr>
        <w:t>Reddito di cittadinanza</w:t>
      </w:r>
      <w:r w:rsidR="004B53EF">
        <w:rPr>
          <w:rFonts w:asciiTheme="minorHAnsi" w:hAnsiTheme="minorHAnsi"/>
          <w:sz w:val="22"/>
        </w:rPr>
        <w:t>)</w:t>
      </w:r>
      <w:r w:rsidR="004B53EF" w:rsidRPr="004B53EF">
        <w:rPr>
          <w:rFonts w:asciiTheme="minorHAnsi" w:hAnsiTheme="minorHAnsi"/>
          <w:sz w:val="22"/>
        </w:rPr>
        <w:t xml:space="preserve"> nel percorso verso l’autonomi</w:t>
      </w:r>
      <w:r w:rsidR="004B53EF">
        <w:rPr>
          <w:rFonts w:asciiTheme="minorHAnsi" w:hAnsiTheme="minorHAnsi"/>
          <w:sz w:val="22"/>
        </w:rPr>
        <w:t>a;</w:t>
      </w:r>
    </w:p>
    <w:p w14:paraId="369F15E5" w14:textId="1E76B68E" w:rsidR="004B53EF" w:rsidRDefault="004B53EF" w:rsidP="00605C8A">
      <w:pPr>
        <w:pStyle w:val="ProvinciaTesto"/>
        <w:numPr>
          <w:ilvl w:val="0"/>
          <w:numId w:val="24"/>
        </w:numPr>
        <w:rPr>
          <w:rFonts w:asciiTheme="minorHAnsi" w:hAnsiTheme="minorHAnsi"/>
          <w:sz w:val="22"/>
        </w:rPr>
      </w:pPr>
      <w:r w:rsidRPr="004B53EF">
        <w:rPr>
          <w:rFonts w:asciiTheme="minorHAnsi" w:hAnsiTheme="minorHAnsi"/>
          <w:b/>
          <w:bCs/>
          <w:sz w:val="22"/>
        </w:rPr>
        <w:lastRenderedPageBreak/>
        <w:t>Euro 5.057.40</w:t>
      </w:r>
      <w:r w:rsidR="00F45DDC">
        <w:rPr>
          <w:rFonts w:asciiTheme="minorHAnsi" w:hAnsiTheme="minorHAnsi"/>
          <w:b/>
          <w:bCs/>
          <w:sz w:val="22"/>
        </w:rPr>
        <w:t>0</w:t>
      </w:r>
      <w:r>
        <w:rPr>
          <w:rFonts w:asciiTheme="minorHAnsi" w:hAnsiTheme="minorHAnsi"/>
          <w:b/>
          <w:bCs/>
          <w:sz w:val="22"/>
        </w:rPr>
        <w:t xml:space="preserve"> </w:t>
      </w:r>
      <w:r w:rsidRPr="004B53EF">
        <w:rPr>
          <w:rFonts w:asciiTheme="minorHAnsi" w:hAnsiTheme="minorHAnsi"/>
          <w:sz w:val="22"/>
        </w:rPr>
        <w:t>relativi al Programma Nazionale Equità nella Salute (PNES) 2021-2027. Area di intervento “contrastare la povertà sanitaria”</w:t>
      </w:r>
      <w:r>
        <w:rPr>
          <w:rFonts w:asciiTheme="minorHAnsi" w:hAnsiTheme="minorHAnsi"/>
          <w:sz w:val="22"/>
        </w:rPr>
        <w:t>;</w:t>
      </w:r>
    </w:p>
    <w:p w14:paraId="76373FBE" w14:textId="77777777" w:rsidR="004E574E" w:rsidRPr="004E574E" w:rsidRDefault="004B53EF" w:rsidP="004E574E">
      <w:pPr>
        <w:pStyle w:val="Paragrafoelenco"/>
        <w:numPr>
          <w:ilvl w:val="0"/>
          <w:numId w:val="24"/>
        </w:numPr>
        <w:rPr>
          <w:rFonts w:eastAsia="Calibri" w:cs="Times New Roman"/>
          <w:kern w:val="0"/>
          <w14:ligatures w14:val="none"/>
        </w:rPr>
      </w:pPr>
      <w:r w:rsidRPr="004B53EF">
        <w:rPr>
          <w:b/>
          <w:bCs/>
        </w:rPr>
        <w:t xml:space="preserve">Euro 4.000.000 </w:t>
      </w:r>
      <w:r w:rsidRPr="004B53EF">
        <w:t xml:space="preserve">per </w:t>
      </w:r>
      <w:r w:rsidRPr="004B53EF">
        <w:rPr>
          <w:rFonts w:eastAsia="Calibri" w:cs="Times New Roman"/>
          <w:kern w:val="0"/>
          <w14:ligatures w14:val="none"/>
        </w:rPr>
        <w:t xml:space="preserve">Progetti Fondo FSE+ 2021/2027 </w:t>
      </w:r>
      <w:r>
        <w:rPr>
          <w:rFonts w:eastAsia="Calibri" w:cs="Times New Roman"/>
          <w:kern w:val="0"/>
          <w14:ligatures w14:val="none"/>
        </w:rPr>
        <w:t xml:space="preserve">a finanziamento di </w:t>
      </w:r>
      <w:r w:rsidRPr="004B53EF">
        <w:rPr>
          <w:rFonts w:eastAsia="Calibri" w:cs="Times New Roman"/>
          <w:kern w:val="0"/>
          <w14:ligatures w14:val="none"/>
        </w:rPr>
        <w:t xml:space="preserve">proposte progettuali innovative finalizzate alla creazione di percorsi di accompagnamento </w:t>
      </w:r>
      <w:proofErr w:type="gramStart"/>
      <w:r w:rsidRPr="004B53EF">
        <w:rPr>
          <w:rFonts w:eastAsia="Calibri" w:cs="Times New Roman"/>
          <w:kern w:val="0"/>
          <w14:ligatures w14:val="none"/>
        </w:rPr>
        <w:t>a  persone</w:t>
      </w:r>
      <w:proofErr w:type="gramEnd"/>
      <w:r w:rsidRPr="004B53EF">
        <w:rPr>
          <w:rFonts w:eastAsia="Calibri" w:cs="Times New Roman"/>
          <w:kern w:val="0"/>
          <w14:ligatures w14:val="none"/>
        </w:rPr>
        <w:t xml:space="preserve"> in particolari condizioni di vulnerabilità e fragilità sociale</w:t>
      </w:r>
      <w:r>
        <w:rPr>
          <w:rFonts w:eastAsia="Calibri" w:cs="Times New Roman"/>
          <w:kern w:val="0"/>
          <w14:ligatures w14:val="none"/>
        </w:rPr>
        <w:t>;</w:t>
      </w:r>
      <w:r w:rsidR="004E574E" w:rsidRPr="004E574E">
        <w:t xml:space="preserve"> </w:t>
      </w:r>
    </w:p>
    <w:p w14:paraId="4F646261" w14:textId="4123061F" w:rsidR="004B53EF" w:rsidRPr="004E574E" w:rsidRDefault="004E574E" w:rsidP="004E574E">
      <w:pPr>
        <w:pStyle w:val="Paragrafoelenco"/>
        <w:numPr>
          <w:ilvl w:val="0"/>
          <w:numId w:val="24"/>
        </w:numPr>
        <w:rPr>
          <w:rFonts w:eastAsia="Calibri" w:cs="Times New Roman"/>
          <w:kern w:val="0"/>
          <w14:ligatures w14:val="none"/>
        </w:rPr>
      </w:pPr>
      <w:r w:rsidRPr="004E574E">
        <w:rPr>
          <w:b/>
          <w:bCs/>
        </w:rPr>
        <w:t>Euro 350.000</w:t>
      </w:r>
      <w:r>
        <w:rPr>
          <w:b/>
          <w:bCs/>
        </w:rPr>
        <w:t xml:space="preserve"> </w:t>
      </w:r>
      <w:r>
        <w:t xml:space="preserve">del </w:t>
      </w:r>
      <w:r w:rsidRPr="004E574E">
        <w:t>Fondo Politiche per la famiglia</w:t>
      </w:r>
      <w:r>
        <w:t xml:space="preserve"> per il finanziamento dei </w:t>
      </w:r>
      <w:r w:rsidRPr="004E574E">
        <w:t xml:space="preserve">Centri per la famiglia </w:t>
      </w:r>
      <w:r>
        <w:t xml:space="preserve">attivi </w:t>
      </w:r>
      <w:r w:rsidRPr="004E574E">
        <w:t>sul territorio regionale</w:t>
      </w:r>
      <w:r>
        <w:t>;</w:t>
      </w:r>
    </w:p>
    <w:p w14:paraId="3B9DF2F0" w14:textId="6D259609" w:rsidR="004E574E" w:rsidRDefault="004E574E" w:rsidP="004E574E">
      <w:pPr>
        <w:pStyle w:val="Paragrafoelenco"/>
        <w:numPr>
          <w:ilvl w:val="0"/>
          <w:numId w:val="24"/>
        </w:numPr>
        <w:rPr>
          <w:rFonts w:eastAsia="Calibri" w:cs="Times New Roman"/>
          <w:kern w:val="0"/>
          <w14:ligatures w14:val="none"/>
        </w:rPr>
      </w:pPr>
      <w:r>
        <w:rPr>
          <w:rFonts w:eastAsia="Calibri" w:cs="Times New Roman"/>
          <w:b/>
          <w:bCs/>
          <w:kern w:val="0"/>
          <w14:ligatures w14:val="none"/>
        </w:rPr>
        <w:t xml:space="preserve">Euro </w:t>
      </w:r>
      <w:r w:rsidRPr="004E574E">
        <w:rPr>
          <w:rFonts w:eastAsia="Calibri" w:cs="Times New Roman"/>
          <w:b/>
          <w:bCs/>
          <w:kern w:val="0"/>
          <w14:ligatures w14:val="none"/>
        </w:rPr>
        <w:t>400.000</w:t>
      </w:r>
      <w:r>
        <w:rPr>
          <w:rFonts w:eastAsia="Calibri" w:cs="Times New Roman"/>
          <w:b/>
          <w:bCs/>
          <w:kern w:val="0"/>
          <w14:ligatures w14:val="none"/>
        </w:rPr>
        <w:t xml:space="preserve"> (quota 2024) </w:t>
      </w:r>
      <w:r w:rsidRPr="004E574E">
        <w:rPr>
          <w:rFonts w:eastAsia="Calibri" w:cs="Times New Roman"/>
          <w:kern w:val="0"/>
          <w14:ligatures w14:val="none"/>
        </w:rPr>
        <w:t>del Fondo per le pari opportunità</w:t>
      </w:r>
      <w:r>
        <w:rPr>
          <w:rFonts w:eastAsia="Calibri" w:cs="Times New Roman"/>
          <w:kern w:val="0"/>
          <w14:ligatures w14:val="none"/>
        </w:rPr>
        <w:t xml:space="preserve"> per le politiche di contrasto alla violenza di genere;</w:t>
      </w:r>
    </w:p>
    <w:p w14:paraId="68961F20" w14:textId="5EC5C3BF" w:rsidR="004E574E" w:rsidRDefault="004E574E" w:rsidP="004E574E">
      <w:pPr>
        <w:pStyle w:val="Paragrafoelenco"/>
        <w:numPr>
          <w:ilvl w:val="0"/>
          <w:numId w:val="24"/>
        </w:numPr>
        <w:jc w:val="both"/>
        <w:rPr>
          <w:rFonts w:eastAsia="Calibri" w:cs="Times New Roman"/>
          <w:kern w:val="0"/>
          <w14:ligatures w14:val="none"/>
        </w:rPr>
      </w:pPr>
      <w:r>
        <w:rPr>
          <w:rFonts w:eastAsia="Calibri" w:cs="Times New Roman"/>
          <w:b/>
          <w:bCs/>
          <w:kern w:val="0"/>
          <w14:ligatures w14:val="none"/>
        </w:rPr>
        <w:t xml:space="preserve">Euro </w:t>
      </w:r>
      <w:r w:rsidRPr="004E574E">
        <w:rPr>
          <w:rFonts w:eastAsia="Calibri" w:cs="Times New Roman"/>
          <w:b/>
          <w:bCs/>
          <w:kern w:val="0"/>
          <w14:ligatures w14:val="none"/>
        </w:rPr>
        <w:t>707.19</w:t>
      </w:r>
      <w:r w:rsidR="00F45DDC">
        <w:rPr>
          <w:rFonts w:eastAsia="Calibri" w:cs="Times New Roman"/>
          <w:b/>
          <w:bCs/>
          <w:kern w:val="0"/>
          <w14:ligatures w14:val="none"/>
        </w:rPr>
        <w:t>0</w:t>
      </w:r>
      <w:r>
        <w:rPr>
          <w:rFonts w:eastAsia="Calibri" w:cs="Times New Roman"/>
          <w:b/>
          <w:bCs/>
          <w:kern w:val="0"/>
          <w14:ligatures w14:val="none"/>
        </w:rPr>
        <w:t xml:space="preserve"> </w:t>
      </w:r>
      <w:r>
        <w:rPr>
          <w:rFonts w:eastAsia="Calibri" w:cs="Times New Roman"/>
          <w:kern w:val="0"/>
          <w14:ligatures w14:val="none"/>
        </w:rPr>
        <w:t xml:space="preserve">del </w:t>
      </w:r>
      <w:r w:rsidRPr="004E574E">
        <w:rPr>
          <w:rFonts w:eastAsia="Calibri" w:cs="Times New Roman"/>
          <w:kern w:val="0"/>
          <w14:ligatures w14:val="none"/>
        </w:rPr>
        <w:t>Fondo per le Politiche Giovanili</w:t>
      </w:r>
      <w:r>
        <w:rPr>
          <w:rFonts w:eastAsia="Calibri" w:cs="Times New Roman"/>
          <w:kern w:val="0"/>
          <w14:ligatures w14:val="none"/>
        </w:rPr>
        <w:t xml:space="preserve"> per il </w:t>
      </w:r>
      <w:r w:rsidRPr="004E574E">
        <w:rPr>
          <w:rFonts w:eastAsia="Calibri" w:cs="Times New Roman"/>
          <w:kern w:val="0"/>
          <w14:ligatures w14:val="none"/>
        </w:rPr>
        <w:t>cofinanzia</w:t>
      </w:r>
      <w:r>
        <w:rPr>
          <w:rFonts w:eastAsia="Calibri" w:cs="Times New Roman"/>
          <w:kern w:val="0"/>
          <w14:ligatures w14:val="none"/>
        </w:rPr>
        <w:t xml:space="preserve">mento di </w:t>
      </w:r>
      <w:proofErr w:type="spellStart"/>
      <w:r w:rsidRPr="004E574E">
        <w:rPr>
          <w:rFonts w:eastAsia="Calibri" w:cs="Times New Roman"/>
          <w:kern w:val="0"/>
          <w14:ligatures w14:val="none"/>
        </w:rPr>
        <w:t>intrventi</w:t>
      </w:r>
      <w:proofErr w:type="spellEnd"/>
      <w:r w:rsidRPr="004E574E">
        <w:rPr>
          <w:rFonts w:eastAsia="Calibri" w:cs="Times New Roman"/>
          <w:kern w:val="0"/>
          <w14:ligatures w14:val="none"/>
        </w:rPr>
        <w:t xml:space="preserve"> territoriali in materia di politiche giovanili, che siano in grado di dare risposte a livello di sistema territoriale, coinvolgendo, a vario titolo, atteso il carattere trasversale delle politiche giovanili, le tematiche dell’educazione, della formazione, del lavoro e dell’inclusione sociale</w:t>
      </w:r>
      <w:r w:rsidR="00F45DDC">
        <w:rPr>
          <w:rFonts w:eastAsia="Calibri" w:cs="Times New Roman"/>
          <w:kern w:val="0"/>
          <w14:ligatures w14:val="none"/>
        </w:rPr>
        <w:t>;</w:t>
      </w:r>
    </w:p>
    <w:p w14:paraId="77FC2FF9" w14:textId="422E4E4B" w:rsidR="00F45DDC" w:rsidRDefault="00F45DDC" w:rsidP="004E574E">
      <w:pPr>
        <w:pStyle w:val="Paragrafoelenco"/>
        <w:numPr>
          <w:ilvl w:val="0"/>
          <w:numId w:val="24"/>
        </w:numPr>
        <w:jc w:val="both"/>
        <w:rPr>
          <w:rFonts w:eastAsia="Calibri" w:cs="Times New Roman"/>
          <w:kern w:val="0"/>
          <w14:ligatures w14:val="none"/>
        </w:rPr>
      </w:pPr>
      <w:r>
        <w:rPr>
          <w:rFonts w:eastAsia="Calibri" w:cs="Times New Roman"/>
          <w:b/>
          <w:bCs/>
          <w:kern w:val="0"/>
          <w14:ligatures w14:val="none"/>
        </w:rPr>
        <w:t xml:space="preserve">Euro </w:t>
      </w:r>
      <w:r w:rsidRPr="00F45DDC">
        <w:rPr>
          <w:rFonts w:eastAsia="Calibri" w:cs="Times New Roman"/>
          <w:b/>
          <w:bCs/>
          <w:kern w:val="0"/>
          <w14:ligatures w14:val="none"/>
        </w:rPr>
        <w:t>1.500.000</w:t>
      </w:r>
      <w:r>
        <w:rPr>
          <w:rFonts w:eastAsia="Calibri" w:cs="Times New Roman"/>
          <w:b/>
          <w:bCs/>
          <w:kern w:val="0"/>
          <w14:ligatures w14:val="none"/>
        </w:rPr>
        <w:t xml:space="preserve"> </w:t>
      </w:r>
      <w:r w:rsidRPr="00F45DDC">
        <w:rPr>
          <w:rFonts w:eastAsia="Calibri" w:cs="Times New Roman"/>
          <w:kern w:val="0"/>
          <w14:ligatures w14:val="none"/>
        </w:rPr>
        <w:t>del Fondo per il finanziamento di progetti e di attività di interesse generale nel Terzo Settore</w:t>
      </w:r>
      <w:r>
        <w:rPr>
          <w:rFonts w:eastAsia="Calibri" w:cs="Times New Roman"/>
          <w:kern w:val="0"/>
          <w14:ligatures w14:val="none"/>
        </w:rPr>
        <w:t xml:space="preserve"> ed in particolare per il </w:t>
      </w:r>
      <w:r w:rsidRPr="00F45DDC">
        <w:rPr>
          <w:rFonts w:eastAsia="Calibri" w:cs="Times New Roman"/>
          <w:kern w:val="0"/>
          <w14:ligatures w14:val="none"/>
        </w:rPr>
        <w:t xml:space="preserve">finanziamento di iniziative e progetti promossi da organizzazioni di volontariato, associazioni di promozione sociale e fondazioni comprese </w:t>
      </w:r>
      <w:proofErr w:type="gramStart"/>
      <w:r w:rsidRPr="00F45DDC">
        <w:rPr>
          <w:rFonts w:eastAsia="Calibri" w:cs="Times New Roman"/>
          <w:kern w:val="0"/>
          <w14:ligatures w14:val="none"/>
        </w:rPr>
        <w:t xml:space="preserve">tra </w:t>
      </w:r>
      <w:r w:rsidR="00F375C4">
        <w:rPr>
          <w:rFonts w:eastAsia="Calibri" w:cs="Times New Roman"/>
          <w:kern w:val="0"/>
          <w14:ligatures w14:val="none"/>
        </w:rPr>
        <w:t xml:space="preserve"> </w:t>
      </w:r>
      <w:r w:rsidRPr="00F45DDC">
        <w:rPr>
          <w:rFonts w:eastAsia="Calibri" w:cs="Times New Roman"/>
          <w:kern w:val="0"/>
          <w14:ligatures w14:val="none"/>
        </w:rPr>
        <w:t>gli</w:t>
      </w:r>
      <w:proofErr w:type="gramEnd"/>
      <w:r w:rsidR="00F375C4">
        <w:rPr>
          <w:rFonts w:eastAsia="Calibri" w:cs="Times New Roman"/>
          <w:kern w:val="0"/>
          <w14:ligatures w14:val="none"/>
        </w:rPr>
        <w:t xml:space="preserve"> </w:t>
      </w:r>
      <w:r w:rsidRPr="00F45DDC">
        <w:rPr>
          <w:rFonts w:eastAsia="Calibri" w:cs="Times New Roman"/>
          <w:kern w:val="0"/>
          <w14:ligatures w14:val="none"/>
        </w:rPr>
        <w:t>enti del Terzo settore</w:t>
      </w:r>
      <w:r w:rsidR="00A53AE0">
        <w:rPr>
          <w:rFonts w:eastAsia="Calibri" w:cs="Times New Roman"/>
          <w:kern w:val="0"/>
          <w14:ligatures w14:val="none"/>
        </w:rPr>
        <w:t>.</w:t>
      </w:r>
    </w:p>
    <w:p w14:paraId="057E5A0F" w14:textId="09F1B054" w:rsidR="00A53AE0" w:rsidRDefault="00A53AE0">
      <w:pPr>
        <w:rPr>
          <w:rFonts w:eastAsia="Calibri" w:cs="Times New Roman"/>
          <w:b/>
          <w:bCs/>
          <w:kern w:val="0"/>
          <w14:ligatures w14:val="none"/>
        </w:rPr>
      </w:pPr>
      <w:r>
        <w:rPr>
          <w:rFonts w:eastAsia="Calibri" w:cs="Times New Roman"/>
          <w:b/>
          <w:bCs/>
          <w:kern w:val="0"/>
          <w14:ligatures w14:val="none"/>
        </w:rPr>
        <w:br w:type="page"/>
      </w:r>
    </w:p>
    <w:p w14:paraId="18064E87" w14:textId="3DBBA3F4" w:rsidR="00A53AE0" w:rsidRDefault="00A53AE0" w:rsidP="00A53AE0">
      <w:pPr>
        <w:jc w:val="both"/>
        <w:rPr>
          <w:b/>
          <w:bCs/>
          <w:u w:val="single"/>
        </w:rPr>
      </w:pPr>
      <w:r w:rsidRPr="00A53AE0">
        <w:rPr>
          <w:b/>
          <w:bCs/>
          <w:u w:val="single"/>
        </w:rPr>
        <w:lastRenderedPageBreak/>
        <w:t>IRCSS CROB DI RIONERO IN VULTURE</w:t>
      </w:r>
    </w:p>
    <w:p w14:paraId="30836373"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La Giunta Regionale, con la Delibera n. 358 del 16 giugno 2023, ha dato il via a un ambizioso piano di potenziamento dell'IRCCS CROB di Rionero in Vulture, approvando il documento AGENAS. Questo intervento rappresenta un passo decisivo per il rilancio dell'attività clinica e di ricerca dell'Istituto, rafforzando il suo ruolo all'interno di una rinnovata Rete Oncologica Regionale, con collegamenti strategici a livello nazionale e internazionale.</w:t>
      </w:r>
    </w:p>
    <w:p w14:paraId="3B8AFCF5"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Successivamente, il 27 luglio 2023, la IV Commissione regionale permanente ha svolto audizioni e analisi approfondite, tra cui quella del Comitato di Indirizzo e Vigilanza dell'Istituto, esprimendo osservazioni e suggerendo alcune modifiche al Piano di potenziamento. La Giunta Regionale ha accolto queste raccomandazioni, adottando la Delibera n. 831 del 15 dicembre 2023, che ha permesso di perfezionare ulteriormente il progetto di rilancio dell'IRCCS CROB.</w:t>
      </w:r>
    </w:p>
    <w:p w14:paraId="5E171619"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 xml:space="preserve">Contestualmente, il Direttore Generale dell'Istituto, in carica dal 15 dicembre 2023, ha ricevuto il mandato di integrare nel nuovo Atto Aziendale sia le direttive contenute nel documento AGENAS sia le osservazioni della IV Commissione Regionale permanente e del Comitato di Indirizzo e Vigilanza. </w:t>
      </w:r>
      <w:r w:rsidRPr="00003D7C">
        <w:rPr>
          <w:rFonts w:ascii="Aptos" w:eastAsia="Aptos" w:hAnsi="Aptos" w:cs="Times New Roman"/>
          <w:b/>
          <w:bCs/>
          <w:sz w:val="24"/>
          <w:szCs w:val="24"/>
        </w:rPr>
        <w:t>Il nuovo Atto Aziendale, elaborato con attenzione, è stato definitivamente approvato dalla Regione Basilicata con la Delibera n. 274 del 5 aprile 2024.</w:t>
      </w:r>
    </w:p>
    <w:p w14:paraId="36B7A7C8"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 xml:space="preserve">Tra i principali interventi previsti, si stanno realizzando lavori strutturali che porteranno l'Istituto ad ampliare la sua capacità ricettiva, passando </w:t>
      </w:r>
      <w:r w:rsidRPr="00003D7C">
        <w:rPr>
          <w:rFonts w:ascii="Aptos" w:eastAsia="Aptos" w:hAnsi="Aptos" w:cs="Times New Roman"/>
          <w:b/>
          <w:bCs/>
          <w:sz w:val="24"/>
          <w:szCs w:val="24"/>
        </w:rPr>
        <w:t>dagli attuali 87 posti letto a 124.</w:t>
      </w:r>
      <w:r w:rsidRPr="00003D7C">
        <w:rPr>
          <w:rFonts w:ascii="Aptos" w:eastAsia="Aptos" w:hAnsi="Aptos" w:cs="Times New Roman"/>
          <w:sz w:val="24"/>
          <w:szCs w:val="24"/>
        </w:rPr>
        <w:t xml:space="preserve"> Inoltre, è in fase di studio, in collaborazione con AGENAS, </w:t>
      </w:r>
      <w:r w:rsidRPr="00003D7C">
        <w:rPr>
          <w:rFonts w:ascii="Aptos" w:eastAsia="Aptos" w:hAnsi="Aptos" w:cs="Times New Roman"/>
          <w:b/>
          <w:bCs/>
          <w:sz w:val="24"/>
          <w:szCs w:val="24"/>
        </w:rPr>
        <w:t>la fattibilità di un grande progetto da 80 milioni</w:t>
      </w:r>
      <w:r w:rsidRPr="00003D7C">
        <w:rPr>
          <w:rFonts w:ascii="Aptos" w:eastAsia="Aptos" w:hAnsi="Aptos" w:cs="Times New Roman"/>
          <w:sz w:val="24"/>
          <w:szCs w:val="24"/>
        </w:rPr>
        <w:t xml:space="preserve"> di euro che prevede la costruzione di una nuova struttura dedicata alle attività chirurgiche e la realizzazione di nuovi parcheggi, migliorando così le prestazioni sanitarie e il comfort per i pazienti.</w:t>
      </w:r>
    </w:p>
    <w:p w14:paraId="3EAC704F"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 xml:space="preserve">Dal punto di vista tecnologico, il CROB ha già acquisito la maggior parte delle attrezzature previste dal </w:t>
      </w:r>
      <w:r w:rsidRPr="00003D7C">
        <w:rPr>
          <w:rFonts w:ascii="Aptos" w:eastAsia="Aptos" w:hAnsi="Aptos" w:cs="Times New Roman"/>
          <w:b/>
          <w:bCs/>
          <w:sz w:val="24"/>
          <w:szCs w:val="24"/>
        </w:rPr>
        <w:t xml:space="preserve">progetto </w:t>
      </w:r>
      <w:proofErr w:type="spellStart"/>
      <w:r w:rsidRPr="00003D7C">
        <w:rPr>
          <w:rFonts w:ascii="Aptos" w:eastAsia="Aptos" w:hAnsi="Aptos" w:cs="Times New Roman"/>
          <w:b/>
          <w:bCs/>
          <w:sz w:val="24"/>
          <w:szCs w:val="24"/>
        </w:rPr>
        <w:t>Tecnocrob</w:t>
      </w:r>
      <w:proofErr w:type="spellEnd"/>
      <w:r w:rsidRPr="00003D7C">
        <w:rPr>
          <w:rFonts w:ascii="Aptos" w:eastAsia="Aptos" w:hAnsi="Aptos" w:cs="Times New Roman"/>
          <w:sz w:val="24"/>
          <w:szCs w:val="24"/>
        </w:rPr>
        <w:t xml:space="preserve"> e da altri finanziamenti. L'unico acquisto ancora in sospeso è la PET-TAC, mentre </w:t>
      </w:r>
      <w:r w:rsidRPr="00003D7C">
        <w:rPr>
          <w:rFonts w:ascii="Aptos" w:eastAsia="Aptos" w:hAnsi="Aptos" w:cs="Times New Roman"/>
          <w:b/>
          <w:bCs/>
          <w:sz w:val="24"/>
          <w:szCs w:val="24"/>
        </w:rPr>
        <w:t>sono già operative due nuove TAC e un Acceleratore Lineare di quarta generazione.</w:t>
      </w:r>
      <w:r w:rsidRPr="00003D7C">
        <w:rPr>
          <w:rFonts w:ascii="Aptos" w:eastAsia="Aptos" w:hAnsi="Aptos" w:cs="Times New Roman"/>
          <w:sz w:val="24"/>
          <w:szCs w:val="24"/>
        </w:rPr>
        <w:t xml:space="preserve"> </w:t>
      </w:r>
    </w:p>
    <w:p w14:paraId="785D5991"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b/>
          <w:bCs/>
          <w:sz w:val="24"/>
          <w:szCs w:val="24"/>
        </w:rPr>
        <w:t>È inoltre in corso l'installazione di un Acceleratore Lineare di terza generazione</w:t>
      </w:r>
      <w:r w:rsidRPr="00003D7C">
        <w:rPr>
          <w:rFonts w:ascii="Aptos" w:eastAsia="Aptos" w:hAnsi="Aptos" w:cs="Times New Roman"/>
          <w:sz w:val="24"/>
          <w:szCs w:val="24"/>
        </w:rPr>
        <w:t xml:space="preserve">, </w:t>
      </w:r>
      <w:r w:rsidRPr="00003D7C">
        <w:rPr>
          <w:rFonts w:ascii="Aptos" w:eastAsia="Aptos" w:hAnsi="Aptos" w:cs="Times New Roman"/>
          <w:b/>
          <w:bCs/>
          <w:sz w:val="24"/>
          <w:szCs w:val="24"/>
        </w:rPr>
        <w:t>simile a quello che sarà presto installato a Matera.</w:t>
      </w:r>
      <w:r w:rsidRPr="00003D7C">
        <w:rPr>
          <w:rFonts w:ascii="Aptos" w:eastAsia="Aptos" w:hAnsi="Aptos" w:cs="Times New Roman"/>
          <w:sz w:val="24"/>
          <w:szCs w:val="24"/>
        </w:rPr>
        <w:t xml:space="preserve"> Nel laboratorio di analisi, è stato acquistato, collaudato e messo in funzione un </w:t>
      </w:r>
      <w:proofErr w:type="spellStart"/>
      <w:r w:rsidRPr="00003D7C">
        <w:rPr>
          <w:rFonts w:ascii="Aptos" w:eastAsia="Aptos" w:hAnsi="Aptos" w:cs="Times New Roman"/>
          <w:sz w:val="24"/>
          <w:szCs w:val="24"/>
        </w:rPr>
        <w:t>sequenziatore</w:t>
      </w:r>
      <w:proofErr w:type="spellEnd"/>
      <w:r w:rsidRPr="00003D7C">
        <w:rPr>
          <w:rFonts w:ascii="Aptos" w:eastAsia="Aptos" w:hAnsi="Aptos" w:cs="Times New Roman"/>
          <w:sz w:val="24"/>
          <w:szCs w:val="24"/>
        </w:rPr>
        <w:t xml:space="preserve"> con metodica NGS, che consente l'esecuzione di esami genomici ultraspecialistici.</w:t>
      </w:r>
    </w:p>
    <w:p w14:paraId="30420BD5"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 xml:space="preserve">I lavori per la sala angiografica sono quasi completati, </w:t>
      </w:r>
      <w:r w:rsidRPr="00003D7C">
        <w:rPr>
          <w:rFonts w:ascii="Aptos" w:eastAsia="Aptos" w:hAnsi="Aptos" w:cs="Times New Roman"/>
          <w:b/>
          <w:bCs/>
          <w:sz w:val="24"/>
          <w:szCs w:val="24"/>
        </w:rPr>
        <w:t>mentre il sistema robotico Da Vinci è già operativo, garantendo una chirurgia oncologica più precisa e meno invasiva</w:t>
      </w:r>
      <w:r w:rsidRPr="00003D7C">
        <w:rPr>
          <w:rFonts w:ascii="Aptos" w:eastAsia="Aptos" w:hAnsi="Aptos" w:cs="Times New Roman"/>
          <w:sz w:val="24"/>
          <w:szCs w:val="24"/>
        </w:rPr>
        <w:t xml:space="preserve">. Un'altra importante novità è rappresentata dall'attivazione, prevista per il 2025, della </w:t>
      </w:r>
      <w:r w:rsidRPr="00003D7C">
        <w:rPr>
          <w:rFonts w:ascii="Aptos" w:eastAsia="Aptos" w:hAnsi="Aptos" w:cs="Times New Roman"/>
          <w:b/>
          <w:bCs/>
          <w:sz w:val="24"/>
          <w:szCs w:val="24"/>
        </w:rPr>
        <w:t>Riabilitazione Oncologica, un servizio fondamentale per il recupero fisico e psicologico dei pazienti</w:t>
      </w:r>
      <w:r w:rsidRPr="00003D7C">
        <w:rPr>
          <w:rFonts w:ascii="Aptos" w:eastAsia="Aptos" w:hAnsi="Aptos" w:cs="Times New Roman"/>
          <w:sz w:val="24"/>
          <w:szCs w:val="24"/>
        </w:rPr>
        <w:t>.</w:t>
      </w:r>
    </w:p>
    <w:p w14:paraId="70CCC377"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b/>
          <w:bCs/>
          <w:sz w:val="24"/>
          <w:szCs w:val="24"/>
        </w:rPr>
        <w:t>Per supportare questa espansione, è stato pianificato un significativo incremento del personale, con l'assunzione di 100 nuove unità tra medici e operatori sanitari</w:t>
      </w:r>
      <w:r w:rsidRPr="00003D7C">
        <w:rPr>
          <w:rFonts w:ascii="Aptos" w:eastAsia="Aptos" w:hAnsi="Aptos" w:cs="Times New Roman"/>
          <w:sz w:val="24"/>
          <w:szCs w:val="24"/>
        </w:rPr>
        <w:t xml:space="preserve">. </w:t>
      </w:r>
    </w:p>
    <w:p w14:paraId="7A73AB4E"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 xml:space="preserve">I bilanci del 2023 e 2024 si sono chiusi in attivo, segno della buona gestione finanziaria dell'Istituto. Inoltre, nel 2024 si è registrato un aumento della produzione sanitaria superiore </w:t>
      </w:r>
      <w:r w:rsidRPr="00003D7C">
        <w:rPr>
          <w:rFonts w:ascii="Aptos" w:eastAsia="Aptos" w:hAnsi="Aptos" w:cs="Times New Roman"/>
          <w:sz w:val="24"/>
          <w:szCs w:val="24"/>
        </w:rPr>
        <w:lastRenderedPageBreak/>
        <w:t>al 15% rispetto all'anno precedente, contribuendo a una riduzione della mobilità passiva dei pazienti, i cui dati dettagliati saranno disponibili nei prossimi mesi.</w:t>
      </w:r>
    </w:p>
    <w:p w14:paraId="427FD1F0"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Un elemento chiave di questo percorso di crescita è stato il rafforzamento delle collaborazioni con gli altri IRCCS del Sud Italia, in particolare Bari e Napoli. Questo ha portato a una maggiore integrazione del CROB nella rete AMORE (Alleanza Mediterranea Oncologica in Rete), con l'adozione della piattaforma Sinfonia per la gestione uniforme delle valutazioni dei Gruppi Oncologici Multidisciplinari.</w:t>
      </w:r>
    </w:p>
    <w:p w14:paraId="3CA5AEBE"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La Rete Oncologica Basilicata è ormai attiva e operativa, con il gruppo di lavoro che ha già revisionato il Percorso Diagnostico-Terapeutico Assistenziale (PDTA) per la patologia mammaria, di prossima adozione a livello regionale.</w:t>
      </w:r>
    </w:p>
    <w:p w14:paraId="3B2D7E99"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sz w:val="24"/>
          <w:szCs w:val="24"/>
        </w:rPr>
        <w:t xml:space="preserve">Infine, il CROB ha completato tutta la documentazione necessaria per il rinnovo del riconoscimento del suo carattere scientifico, in conformità con il Decreto Legislativo 200/22. La Giunta Regionale, con Delibera n. 567 del 26 settembre 2024, ha attestato la continuità della missione scientifica dell'IRCCS CROB, riconoscendolo come Centro di riferimento oncologico per la Basilicata. </w:t>
      </w:r>
      <w:r w:rsidRPr="00003D7C">
        <w:rPr>
          <w:rFonts w:ascii="Aptos" w:eastAsia="Aptos" w:hAnsi="Aptos" w:cs="Times New Roman"/>
          <w:b/>
          <w:bCs/>
          <w:sz w:val="24"/>
          <w:szCs w:val="24"/>
        </w:rPr>
        <w:t>Tale documentazione è stata trasmessa al Ministero a dicembre 2024 per le necessarie valutazioni</w:t>
      </w:r>
      <w:r w:rsidRPr="00003D7C">
        <w:rPr>
          <w:rFonts w:ascii="Aptos" w:eastAsia="Aptos" w:hAnsi="Aptos" w:cs="Times New Roman"/>
          <w:sz w:val="24"/>
          <w:szCs w:val="24"/>
        </w:rPr>
        <w:t>.</w:t>
      </w:r>
    </w:p>
    <w:p w14:paraId="5B5E89AC" w14:textId="77777777" w:rsidR="00003D7C" w:rsidRPr="00003D7C" w:rsidRDefault="00003D7C" w:rsidP="00003D7C">
      <w:pPr>
        <w:spacing w:line="276" w:lineRule="auto"/>
        <w:jc w:val="both"/>
        <w:rPr>
          <w:rFonts w:ascii="Aptos" w:eastAsia="Aptos" w:hAnsi="Aptos" w:cs="Times New Roman"/>
          <w:sz w:val="24"/>
          <w:szCs w:val="24"/>
        </w:rPr>
      </w:pPr>
      <w:r w:rsidRPr="00003D7C">
        <w:rPr>
          <w:rFonts w:ascii="Aptos" w:eastAsia="Aptos" w:hAnsi="Aptos" w:cs="Times New Roman"/>
          <w:b/>
          <w:bCs/>
          <w:sz w:val="24"/>
          <w:szCs w:val="24"/>
        </w:rPr>
        <w:t>Un ulteriore passo importante si concretizzerà il 25 febbraio prossimo, quando la Commissione Ministeriale, che include un rappresentante della Regione Basilicata, aprirà i lavori per la selezione del nuovo Direttore Scientifico dell'Istituto.</w:t>
      </w:r>
      <w:r w:rsidRPr="00003D7C">
        <w:rPr>
          <w:rFonts w:ascii="Aptos" w:eastAsia="Aptos" w:hAnsi="Aptos" w:cs="Times New Roman"/>
          <w:sz w:val="24"/>
          <w:szCs w:val="24"/>
        </w:rPr>
        <w:t xml:space="preserve"> Questa figura, scelta tra gli iscritti nell'albo nazionale specifico, avrà un ruolo fondamentale nel consolidamento e nello sviluppo della ricerca oncologica del CROB.</w:t>
      </w:r>
    </w:p>
    <w:p w14:paraId="628DA7FF" w14:textId="54D4805F" w:rsidR="00A53AE0" w:rsidRPr="00A53AE0" w:rsidRDefault="00003D7C" w:rsidP="00003D7C">
      <w:pPr>
        <w:jc w:val="both"/>
        <w:rPr>
          <w:b/>
          <w:bCs/>
          <w:u w:val="single"/>
        </w:rPr>
      </w:pPr>
      <w:r w:rsidRPr="00003D7C">
        <w:rPr>
          <w:rFonts w:ascii="Aptos" w:eastAsia="Aptos" w:hAnsi="Aptos" w:cs="Times New Roman"/>
          <w:kern w:val="0"/>
          <w:sz w:val="24"/>
          <w:szCs w:val="24"/>
          <w14:ligatures w14:val="none"/>
        </w:rPr>
        <w:t>Questi interventi dimostrano un impegno concreto nel garantire ai cittadini lucani un'assistenza oncologica di eccellenza. Il CROB di Rionero in Vulture continua il suo percorso di crescita, puntando su innovazione, ricerca e un miglioramento costante delle cure oncologiche</w:t>
      </w:r>
    </w:p>
    <w:sectPr w:rsidR="00A53AE0" w:rsidRPr="00A53AE0" w:rsidSect="004E1BF9">
      <w:footerReference w:type="default" r:id="rId15"/>
      <w:pgSz w:w="11906" w:h="16838"/>
      <w:pgMar w:top="993"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BE38" w14:textId="77777777" w:rsidR="002C5A71" w:rsidRDefault="002C5A71" w:rsidP="00276A95">
      <w:pPr>
        <w:spacing w:after="0" w:line="240" w:lineRule="auto"/>
      </w:pPr>
      <w:r>
        <w:separator/>
      </w:r>
    </w:p>
  </w:endnote>
  <w:endnote w:type="continuationSeparator" w:id="0">
    <w:p w14:paraId="57E80405" w14:textId="77777777" w:rsidR="002C5A71" w:rsidRDefault="002C5A71" w:rsidP="0027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406898"/>
      <w:docPartObj>
        <w:docPartGallery w:val="Page Numbers (Bottom of Page)"/>
        <w:docPartUnique/>
      </w:docPartObj>
    </w:sdtPr>
    <w:sdtEndPr/>
    <w:sdtContent>
      <w:p w14:paraId="3189A959" w14:textId="6850B024" w:rsidR="008B7EB8" w:rsidRDefault="008B7EB8">
        <w:pPr>
          <w:pStyle w:val="Pidipagina"/>
          <w:jc w:val="right"/>
        </w:pPr>
        <w:r>
          <w:fldChar w:fldCharType="begin"/>
        </w:r>
        <w:r>
          <w:instrText>PAGE   \* MERGEFORMAT</w:instrText>
        </w:r>
        <w:r>
          <w:fldChar w:fldCharType="separate"/>
        </w:r>
        <w:r w:rsidR="00884672">
          <w:rPr>
            <w:noProof/>
          </w:rPr>
          <w:t>4</w:t>
        </w:r>
        <w:r>
          <w:fldChar w:fldCharType="end"/>
        </w:r>
      </w:p>
    </w:sdtContent>
  </w:sdt>
  <w:p w14:paraId="7817A008" w14:textId="77777777" w:rsidR="008B7EB8" w:rsidRDefault="008B7E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9E0C" w14:textId="77777777" w:rsidR="002C5A71" w:rsidRDefault="002C5A71" w:rsidP="00276A95">
      <w:pPr>
        <w:spacing w:after="0" w:line="240" w:lineRule="auto"/>
      </w:pPr>
      <w:r>
        <w:separator/>
      </w:r>
    </w:p>
  </w:footnote>
  <w:footnote w:type="continuationSeparator" w:id="0">
    <w:p w14:paraId="7FDBF694" w14:textId="77777777" w:rsidR="002C5A71" w:rsidRDefault="002C5A71" w:rsidP="00276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E43"/>
    <w:multiLevelType w:val="hybridMultilevel"/>
    <w:tmpl w:val="3034AB88"/>
    <w:lvl w:ilvl="0" w:tplc="04100001">
      <w:start w:val="1"/>
      <w:numFmt w:val="bullet"/>
      <w:lvlText w:val=""/>
      <w:lvlJc w:val="left"/>
      <w:pPr>
        <w:ind w:left="643" w:hanging="360"/>
      </w:pPr>
      <w:rPr>
        <w:rFonts w:ascii="Symbol" w:hAnsi="Symbol" w:hint="default"/>
      </w:rPr>
    </w:lvl>
    <w:lvl w:ilvl="1" w:tplc="FFFFFFFF">
      <w:start w:val="1"/>
      <w:numFmt w:val="bullet"/>
      <w:lvlText w:val="o"/>
      <w:lvlJc w:val="left"/>
      <w:pPr>
        <w:ind w:left="1363" w:hanging="360"/>
      </w:pPr>
      <w:rPr>
        <w:rFonts w:ascii="Courier New" w:hAnsi="Courier New" w:cs="Courier New" w:hint="default"/>
      </w:rPr>
    </w:lvl>
    <w:lvl w:ilvl="2" w:tplc="FFFFFFFF">
      <w:start w:val="1"/>
      <w:numFmt w:val="bullet"/>
      <w:lvlText w:val=""/>
      <w:lvlJc w:val="left"/>
      <w:pPr>
        <w:ind w:left="2083" w:hanging="360"/>
      </w:pPr>
      <w:rPr>
        <w:rFonts w:ascii="Wingdings" w:hAnsi="Wingdings" w:hint="default"/>
      </w:rPr>
    </w:lvl>
    <w:lvl w:ilvl="3" w:tplc="FFFFFFFF">
      <w:start w:val="1"/>
      <w:numFmt w:val="bullet"/>
      <w:lvlText w:val=""/>
      <w:lvlJc w:val="left"/>
      <w:pPr>
        <w:ind w:left="2803" w:hanging="360"/>
      </w:pPr>
      <w:rPr>
        <w:rFonts w:ascii="Symbol" w:hAnsi="Symbol" w:hint="default"/>
      </w:rPr>
    </w:lvl>
    <w:lvl w:ilvl="4" w:tplc="FFFFFFFF">
      <w:start w:val="1"/>
      <w:numFmt w:val="bullet"/>
      <w:lvlText w:val="o"/>
      <w:lvlJc w:val="left"/>
      <w:pPr>
        <w:ind w:left="3523" w:hanging="360"/>
      </w:pPr>
      <w:rPr>
        <w:rFonts w:ascii="Courier New" w:hAnsi="Courier New" w:cs="Courier New" w:hint="default"/>
      </w:rPr>
    </w:lvl>
    <w:lvl w:ilvl="5" w:tplc="FFFFFFFF">
      <w:start w:val="1"/>
      <w:numFmt w:val="bullet"/>
      <w:lvlText w:val=""/>
      <w:lvlJc w:val="left"/>
      <w:pPr>
        <w:ind w:left="4243" w:hanging="360"/>
      </w:pPr>
      <w:rPr>
        <w:rFonts w:ascii="Wingdings" w:hAnsi="Wingdings" w:hint="default"/>
      </w:rPr>
    </w:lvl>
    <w:lvl w:ilvl="6" w:tplc="FFFFFFFF">
      <w:start w:val="1"/>
      <w:numFmt w:val="bullet"/>
      <w:lvlText w:val=""/>
      <w:lvlJc w:val="left"/>
      <w:pPr>
        <w:ind w:left="4963" w:hanging="360"/>
      </w:pPr>
      <w:rPr>
        <w:rFonts w:ascii="Symbol" w:hAnsi="Symbol" w:hint="default"/>
      </w:rPr>
    </w:lvl>
    <w:lvl w:ilvl="7" w:tplc="FFFFFFFF">
      <w:start w:val="1"/>
      <w:numFmt w:val="bullet"/>
      <w:lvlText w:val="o"/>
      <w:lvlJc w:val="left"/>
      <w:pPr>
        <w:ind w:left="5683" w:hanging="360"/>
      </w:pPr>
      <w:rPr>
        <w:rFonts w:ascii="Courier New" w:hAnsi="Courier New" w:cs="Courier New" w:hint="default"/>
      </w:rPr>
    </w:lvl>
    <w:lvl w:ilvl="8" w:tplc="FFFFFFFF">
      <w:start w:val="1"/>
      <w:numFmt w:val="bullet"/>
      <w:lvlText w:val=""/>
      <w:lvlJc w:val="left"/>
      <w:pPr>
        <w:ind w:left="6403" w:hanging="360"/>
      </w:pPr>
      <w:rPr>
        <w:rFonts w:ascii="Wingdings" w:hAnsi="Wingdings" w:hint="default"/>
      </w:rPr>
    </w:lvl>
  </w:abstractNum>
  <w:abstractNum w:abstractNumId="1" w15:restartNumberingAfterBreak="0">
    <w:nsid w:val="009D25B4"/>
    <w:multiLevelType w:val="hybridMultilevel"/>
    <w:tmpl w:val="68F64304"/>
    <w:lvl w:ilvl="0" w:tplc="00000002">
      <w:start w:val="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C59A8"/>
    <w:multiLevelType w:val="hybridMultilevel"/>
    <w:tmpl w:val="06D20E8C"/>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0C1127"/>
    <w:multiLevelType w:val="hybridMultilevel"/>
    <w:tmpl w:val="6EDC71C0"/>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FA84027"/>
    <w:multiLevelType w:val="hybridMultilevel"/>
    <w:tmpl w:val="90FCC11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448C5"/>
    <w:multiLevelType w:val="hybridMultilevel"/>
    <w:tmpl w:val="B914DD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964DDF"/>
    <w:multiLevelType w:val="hybridMultilevel"/>
    <w:tmpl w:val="4BEC2752"/>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7" w15:restartNumberingAfterBreak="0">
    <w:nsid w:val="19661F20"/>
    <w:multiLevelType w:val="hybridMultilevel"/>
    <w:tmpl w:val="90FA48CC"/>
    <w:lvl w:ilvl="0" w:tplc="E0E8D722">
      <w:numFmt w:val="bullet"/>
      <w:lvlText w:val="-"/>
      <w:lvlJc w:val="left"/>
      <w:pPr>
        <w:ind w:left="720" w:hanging="360"/>
      </w:pPr>
      <w:rPr>
        <w:rFonts w:ascii="Garamond" w:eastAsia="Calibri" w:hAnsi="Garamond"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6446BB"/>
    <w:multiLevelType w:val="hybridMultilevel"/>
    <w:tmpl w:val="801AC5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CF04E0"/>
    <w:multiLevelType w:val="hybridMultilevel"/>
    <w:tmpl w:val="FC1418B0"/>
    <w:lvl w:ilvl="0" w:tplc="CFDA76C6">
      <w:start w:val="1"/>
      <w:numFmt w:val="upperLetter"/>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5F3823"/>
    <w:multiLevelType w:val="hybridMultilevel"/>
    <w:tmpl w:val="CE78462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1" w15:restartNumberingAfterBreak="0">
    <w:nsid w:val="26901971"/>
    <w:multiLevelType w:val="hybridMultilevel"/>
    <w:tmpl w:val="AE662D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13656"/>
    <w:multiLevelType w:val="hybridMultilevel"/>
    <w:tmpl w:val="89EA3C22"/>
    <w:lvl w:ilvl="0" w:tplc="529EFC9A">
      <w:start w:val="1"/>
      <w:numFmt w:val="lowerLetter"/>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D2487B"/>
    <w:multiLevelType w:val="hybridMultilevel"/>
    <w:tmpl w:val="E68E83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E476FF"/>
    <w:multiLevelType w:val="hybridMultilevel"/>
    <w:tmpl w:val="CDE8E0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4A2F45"/>
    <w:multiLevelType w:val="hybridMultilevel"/>
    <w:tmpl w:val="A44EC636"/>
    <w:lvl w:ilvl="0" w:tplc="A5C4EAC8">
      <w:start w:val="34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3B47EB"/>
    <w:multiLevelType w:val="hybridMultilevel"/>
    <w:tmpl w:val="7B5ABE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FC2224"/>
    <w:multiLevelType w:val="hybridMultilevel"/>
    <w:tmpl w:val="4CFE3896"/>
    <w:lvl w:ilvl="0" w:tplc="0410000F">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30770655"/>
    <w:multiLevelType w:val="hybridMultilevel"/>
    <w:tmpl w:val="CCBCE1AC"/>
    <w:lvl w:ilvl="0" w:tplc="2FD2DCA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ED413D"/>
    <w:multiLevelType w:val="hybridMultilevel"/>
    <w:tmpl w:val="245413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BE7DFA"/>
    <w:multiLevelType w:val="hybridMultilevel"/>
    <w:tmpl w:val="0BE6E7F4"/>
    <w:lvl w:ilvl="0" w:tplc="EA3A32BE">
      <w:start w:val="6"/>
      <w:numFmt w:val="bullet"/>
      <w:lvlText w:val="-"/>
      <w:lvlJc w:val="left"/>
      <w:pPr>
        <w:ind w:left="420" w:hanging="360"/>
      </w:pPr>
      <w:rPr>
        <w:rFonts w:ascii="Times New Roman" w:eastAsia="Calibri" w:hAnsi="Times New Roman" w:cs="Times New Roman"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1" w15:restartNumberingAfterBreak="0">
    <w:nsid w:val="3C7347CB"/>
    <w:multiLevelType w:val="hybridMultilevel"/>
    <w:tmpl w:val="E8F8F1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EE5D46"/>
    <w:multiLevelType w:val="hybridMultilevel"/>
    <w:tmpl w:val="3DBCC33E"/>
    <w:lvl w:ilvl="0" w:tplc="856AB1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B76A22"/>
    <w:multiLevelType w:val="hybridMultilevel"/>
    <w:tmpl w:val="BFE2B70E"/>
    <w:lvl w:ilvl="0" w:tplc="00000002">
      <w:start w:val="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CC0573"/>
    <w:multiLevelType w:val="hybridMultilevel"/>
    <w:tmpl w:val="908AA0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5D1092"/>
    <w:multiLevelType w:val="hybridMultilevel"/>
    <w:tmpl w:val="D8885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FD6D2F"/>
    <w:multiLevelType w:val="hybridMultilevel"/>
    <w:tmpl w:val="E33E3E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494A61"/>
    <w:multiLevelType w:val="hybridMultilevel"/>
    <w:tmpl w:val="B4E0A2AC"/>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2D78FA"/>
    <w:multiLevelType w:val="hybridMultilevel"/>
    <w:tmpl w:val="B6684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0B5052"/>
    <w:multiLevelType w:val="hybridMultilevel"/>
    <w:tmpl w:val="34A63E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1E4917"/>
    <w:multiLevelType w:val="hybridMultilevel"/>
    <w:tmpl w:val="237A86A8"/>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4EA5514E"/>
    <w:multiLevelType w:val="hybridMultilevel"/>
    <w:tmpl w:val="B680FDE4"/>
    <w:lvl w:ilvl="0" w:tplc="55BEDC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1F5723D"/>
    <w:multiLevelType w:val="hybridMultilevel"/>
    <w:tmpl w:val="B08A4D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8A0538"/>
    <w:multiLevelType w:val="hybridMultilevel"/>
    <w:tmpl w:val="A7260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055025"/>
    <w:multiLevelType w:val="hybridMultilevel"/>
    <w:tmpl w:val="712891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668248C"/>
    <w:multiLevelType w:val="hybridMultilevel"/>
    <w:tmpl w:val="90D0F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FE1654"/>
    <w:multiLevelType w:val="hybridMultilevel"/>
    <w:tmpl w:val="8C70328E"/>
    <w:lvl w:ilvl="0" w:tplc="501CB75C">
      <w:start w:val="4"/>
      <w:numFmt w:val="bullet"/>
      <w:lvlText w:val="-"/>
      <w:lvlJc w:val="left"/>
      <w:pPr>
        <w:ind w:left="1080" w:hanging="360"/>
      </w:pPr>
      <w:rPr>
        <w:rFonts w:ascii="Aptos" w:eastAsia="Times New Roman" w:hAnsi="Apto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5483975"/>
    <w:multiLevelType w:val="hybridMultilevel"/>
    <w:tmpl w:val="1E12EDB4"/>
    <w:lvl w:ilvl="0" w:tplc="E0E8D722">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4E48DE"/>
    <w:multiLevelType w:val="hybridMultilevel"/>
    <w:tmpl w:val="68BC5A72"/>
    <w:lvl w:ilvl="0" w:tplc="259667D4">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3A07BA"/>
    <w:multiLevelType w:val="hybridMultilevel"/>
    <w:tmpl w:val="FDFA2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B049BE"/>
    <w:multiLevelType w:val="hybridMultilevel"/>
    <w:tmpl w:val="34EEF2BC"/>
    <w:lvl w:ilvl="0" w:tplc="156C23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1C30756"/>
    <w:multiLevelType w:val="hybridMultilevel"/>
    <w:tmpl w:val="44C6C5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5494AC2"/>
    <w:multiLevelType w:val="hybridMultilevel"/>
    <w:tmpl w:val="0AE67BF0"/>
    <w:lvl w:ilvl="0" w:tplc="501CB75C">
      <w:start w:val="4"/>
      <w:numFmt w:val="bullet"/>
      <w:lvlText w:val="-"/>
      <w:lvlJc w:val="left"/>
      <w:pPr>
        <w:ind w:left="720" w:hanging="360"/>
      </w:pPr>
      <w:rPr>
        <w:rFonts w:ascii="Aptos" w:eastAsia="Times New Roman" w:hAnsi="Apto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809556B"/>
    <w:multiLevelType w:val="hybridMultilevel"/>
    <w:tmpl w:val="3A8EC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4C5382"/>
    <w:multiLevelType w:val="hybridMultilevel"/>
    <w:tmpl w:val="ACB2A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900D6A"/>
    <w:multiLevelType w:val="hybridMultilevel"/>
    <w:tmpl w:val="59928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6"/>
  </w:num>
  <w:num w:numId="4">
    <w:abstractNumId w:val="39"/>
  </w:num>
  <w:num w:numId="5">
    <w:abstractNumId w:val="30"/>
  </w:num>
  <w:num w:numId="6">
    <w:abstractNumId w:val="26"/>
  </w:num>
  <w:num w:numId="7">
    <w:abstractNumId w:val="41"/>
  </w:num>
  <w:num w:numId="8">
    <w:abstractNumId w:val="21"/>
  </w:num>
  <w:num w:numId="9">
    <w:abstractNumId w:val="24"/>
  </w:num>
  <w:num w:numId="10">
    <w:abstractNumId w:val="19"/>
  </w:num>
  <w:num w:numId="11">
    <w:abstractNumId w:val="27"/>
  </w:num>
  <w:num w:numId="12">
    <w:abstractNumId w:val="29"/>
  </w:num>
  <w:num w:numId="13">
    <w:abstractNumId w:val="3"/>
  </w:num>
  <w:num w:numId="14">
    <w:abstractNumId w:val="28"/>
  </w:num>
  <w:num w:numId="15">
    <w:abstractNumId w:val="45"/>
  </w:num>
  <w:num w:numId="16">
    <w:abstractNumId w:val="2"/>
  </w:num>
  <w:num w:numId="17">
    <w:abstractNumId w:val="0"/>
  </w:num>
  <w:num w:numId="18">
    <w:abstractNumId w:val="37"/>
  </w:num>
  <w:num w:numId="19">
    <w:abstractNumId w:val="7"/>
  </w:num>
  <w:num w:numId="20">
    <w:abstractNumId w:val="20"/>
  </w:num>
  <w:num w:numId="21">
    <w:abstractNumId w:val="1"/>
  </w:num>
  <w:num w:numId="22">
    <w:abstractNumId w:val="23"/>
  </w:num>
  <w:num w:numId="23">
    <w:abstractNumId w:val="25"/>
  </w:num>
  <w:num w:numId="24">
    <w:abstractNumId w:val="32"/>
  </w:num>
  <w:num w:numId="25">
    <w:abstractNumId w:val="5"/>
  </w:num>
  <w:num w:numId="26">
    <w:abstractNumId w:val="6"/>
  </w:num>
  <w:num w:numId="27">
    <w:abstractNumId w:val="11"/>
  </w:num>
  <w:num w:numId="28">
    <w:abstractNumId w:val="17"/>
  </w:num>
  <w:num w:numId="29">
    <w:abstractNumId w:val="12"/>
  </w:num>
  <w:num w:numId="30">
    <w:abstractNumId w:val="18"/>
  </w:num>
  <w:num w:numId="31">
    <w:abstractNumId w:val="38"/>
  </w:num>
  <w:num w:numId="32">
    <w:abstractNumId w:val="4"/>
  </w:num>
  <w:num w:numId="33">
    <w:abstractNumId w:val="15"/>
  </w:num>
  <w:num w:numId="34">
    <w:abstractNumId w:val="8"/>
  </w:num>
  <w:num w:numId="35">
    <w:abstractNumId w:val="34"/>
  </w:num>
  <w:num w:numId="36">
    <w:abstractNumId w:val="13"/>
  </w:num>
  <w:num w:numId="37">
    <w:abstractNumId w:val="22"/>
  </w:num>
  <w:num w:numId="38">
    <w:abstractNumId w:val="9"/>
  </w:num>
  <w:num w:numId="39">
    <w:abstractNumId w:val="40"/>
  </w:num>
  <w:num w:numId="40">
    <w:abstractNumId w:val="10"/>
  </w:num>
  <w:num w:numId="41">
    <w:abstractNumId w:val="44"/>
  </w:num>
  <w:num w:numId="42">
    <w:abstractNumId w:val="35"/>
  </w:num>
  <w:num w:numId="43">
    <w:abstractNumId w:val="42"/>
  </w:num>
  <w:num w:numId="44">
    <w:abstractNumId w:val="36"/>
  </w:num>
  <w:num w:numId="45">
    <w:abstractNumId w:val="3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7C"/>
    <w:rsid w:val="00003D7C"/>
    <w:rsid w:val="00025779"/>
    <w:rsid w:val="00035972"/>
    <w:rsid w:val="00041AEC"/>
    <w:rsid w:val="00046E26"/>
    <w:rsid w:val="00052E2E"/>
    <w:rsid w:val="000561FC"/>
    <w:rsid w:val="00065613"/>
    <w:rsid w:val="00085499"/>
    <w:rsid w:val="000966F0"/>
    <w:rsid w:val="000C775A"/>
    <w:rsid w:val="000E4577"/>
    <w:rsid w:val="000E66A8"/>
    <w:rsid w:val="001436EA"/>
    <w:rsid w:val="00143B44"/>
    <w:rsid w:val="001627A4"/>
    <w:rsid w:val="00163CC1"/>
    <w:rsid w:val="00192FA2"/>
    <w:rsid w:val="001D4962"/>
    <w:rsid w:val="001E26CF"/>
    <w:rsid w:val="001E4EF0"/>
    <w:rsid w:val="001F5954"/>
    <w:rsid w:val="001F71B4"/>
    <w:rsid w:val="00205CF7"/>
    <w:rsid w:val="00224808"/>
    <w:rsid w:val="00234505"/>
    <w:rsid w:val="00243CAE"/>
    <w:rsid w:val="00254E42"/>
    <w:rsid w:val="0026655F"/>
    <w:rsid w:val="0027307F"/>
    <w:rsid w:val="00276A95"/>
    <w:rsid w:val="002854FB"/>
    <w:rsid w:val="002A5309"/>
    <w:rsid w:val="002B1FBF"/>
    <w:rsid w:val="002C5A71"/>
    <w:rsid w:val="002F2AD9"/>
    <w:rsid w:val="003040AF"/>
    <w:rsid w:val="00311603"/>
    <w:rsid w:val="00311E39"/>
    <w:rsid w:val="003255B8"/>
    <w:rsid w:val="003256F7"/>
    <w:rsid w:val="00362E9D"/>
    <w:rsid w:val="00380C37"/>
    <w:rsid w:val="0038360D"/>
    <w:rsid w:val="003A3D63"/>
    <w:rsid w:val="003A3FB8"/>
    <w:rsid w:val="003D1C46"/>
    <w:rsid w:val="003E35DA"/>
    <w:rsid w:val="003F3D94"/>
    <w:rsid w:val="004158F4"/>
    <w:rsid w:val="00425E64"/>
    <w:rsid w:val="004358F5"/>
    <w:rsid w:val="00441C0D"/>
    <w:rsid w:val="004453FF"/>
    <w:rsid w:val="004503E4"/>
    <w:rsid w:val="00466229"/>
    <w:rsid w:val="004767A1"/>
    <w:rsid w:val="00476BCD"/>
    <w:rsid w:val="004940E3"/>
    <w:rsid w:val="004A203A"/>
    <w:rsid w:val="004B2131"/>
    <w:rsid w:val="004B53EF"/>
    <w:rsid w:val="004B66DF"/>
    <w:rsid w:val="004C05A3"/>
    <w:rsid w:val="004C69FE"/>
    <w:rsid w:val="004D4B06"/>
    <w:rsid w:val="004E0947"/>
    <w:rsid w:val="004E1BF9"/>
    <w:rsid w:val="004E574E"/>
    <w:rsid w:val="004F0A89"/>
    <w:rsid w:val="004F26B5"/>
    <w:rsid w:val="004F6D5A"/>
    <w:rsid w:val="0050389C"/>
    <w:rsid w:val="00503D46"/>
    <w:rsid w:val="00523BF0"/>
    <w:rsid w:val="0053069E"/>
    <w:rsid w:val="00595C72"/>
    <w:rsid w:val="0059751C"/>
    <w:rsid w:val="005A6818"/>
    <w:rsid w:val="005B62E6"/>
    <w:rsid w:val="005C2377"/>
    <w:rsid w:val="005E6306"/>
    <w:rsid w:val="005E7FA6"/>
    <w:rsid w:val="005F7F70"/>
    <w:rsid w:val="006050C2"/>
    <w:rsid w:val="00605C8A"/>
    <w:rsid w:val="006105B6"/>
    <w:rsid w:val="00625FC2"/>
    <w:rsid w:val="00657674"/>
    <w:rsid w:val="006641D3"/>
    <w:rsid w:val="00666502"/>
    <w:rsid w:val="0067463D"/>
    <w:rsid w:val="00685D91"/>
    <w:rsid w:val="00694969"/>
    <w:rsid w:val="006B65FE"/>
    <w:rsid w:val="00714DFB"/>
    <w:rsid w:val="00730BBE"/>
    <w:rsid w:val="00743E75"/>
    <w:rsid w:val="007453B0"/>
    <w:rsid w:val="007460EB"/>
    <w:rsid w:val="0075319E"/>
    <w:rsid w:val="0075764C"/>
    <w:rsid w:val="00764FAE"/>
    <w:rsid w:val="0078206E"/>
    <w:rsid w:val="00792AD5"/>
    <w:rsid w:val="007C0E07"/>
    <w:rsid w:val="007D50D1"/>
    <w:rsid w:val="007E351F"/>
    <w:rsid w:val="007E5672"/>
    <w:rsid w:val="007F7EEE"/>
    <w:rsid w:val="00803189"/>
    <w:rsid w:val="008147A6"/>
    <w:rsid w:val="00830CB6"/>
    <w:rsid w:val="0084645F"/>
    <w:rsid w:val="00877E55"/>
    <w:rsid w:val="00884672"/>
    <w:rsid w:val="008943A5"/>
    <w:rsid w:val="00896FB2"/>
    <w:rsid w:val="008A0724"/>
    <w:rsid w:val="008B2B4A"/>
    <w:rsid w:val="008B7117"/>
    <w:rsid w:val="008B7EB8"/>
    <w:rsid w:val="008D2597"/>
    <w:rsid w:val="008D3C99"/>
    <w:rsid w:val="008F08D9"/>
    <w:rsid w:val="008F32AB"/>
    <w:rsid w:val="008F39B1"/>
    <w:rsid w:val="008F4F10"/>
    <w:rsid w:val="00910EB1"/>
    <w:rsid w:val="0091206F"/>
    <w:rsid w:val="00944EEE"/>
    <w:rsid w:val="00950A27"/>
    <w:rsid w:val="00963631"/>
    <w:rsid w:val="00975DB7"/>
    <w:rsid w:val="00976E55"/>
    <w:rsid w:val="00984366"/>
    <w:rsid w:val="009C3786"/>
    <w:rsid w:val="009F347C"/>
    <w:rsid w:val="009F5D24"/>
    <w:rsid w:val="009F7FDC"/>
    <w:rsid w:val="00A22053"/>
    <w:rsid w:val="00A53AE0"/>
    <w:rsid w:val="00A5662D"/>
    <w:rsid w:val="00A81EFE"/>
    <w:rsid w:val="00A85ADE"/>
    <w:rsid w:val="00AB091D"/>
    <w:rsid w:val="00AB5522"/>
    <w:rsid w:val="00AC0E28"/>
    <w:rsid w:val="00AC7FF1"/>
    <w:rsid w:val="00B1121B"/>
    <w:rsid w:val="00B20C01"/>
    <w:rsid w:val="00B27408"/>
    <w:rsid w:val="00B315B7"/>
    <w:rsid w:val="00B42E50"/>
    <w:rsid w:val="00B43FCE"/>
    <w:rsid w:val="00B44175"/>
    <w:rsid w:val="00B66DA6"/>
    <w:rsid w:val="00B72096"/>
    <w:rsid w:val="00B77F95"/>
    <w:rsid w:val="00BA6EB7"/>
    <w:rsid w:val="00BB3DC0"/>
    <w:rsid w:val="00BB50B6"/>
    <w:rsid w:val="00BE49D8"/>
    <w:rsid w:val="00C34A9A"/>
    <w:rsid w:val="00C34CE7"/>
    <w:rsid w:val="00C35D36"/>
    <w:rsid w:val="00C60EB9"/>
    <w:rsid w:val="00C72E72"/>
    <w:rsid w:val="00C76403"/>
    <w:rsid w:val="00CA39F2"/>
    <w:rsid w:val="00CA48AA"/>
    <w:rsid w:val="00CB0FFD"/>
    <w:rsid w:val="00CC5261"/>
    <w:rsid w:val="00CC64DA"/>
    <w:rsid w:val="00CE17EE"/>
    <w:rsid w:val="00CE7D7E"/>
    <w:rsid w:val="00CF125B"/>
    <w:rsid w:val="00CF34CF"/>
    <w:rsid w:val="00D00E90"/>
    <w:rsid w:val="00D02351"/>
    <w:rsid w:val="00D11842"/>
    <w:rsid w:val="00D12339"/>
    <w:rsid w:val="00D16A07"/>
    <w:rsid w:val="00D54A4F"/>
    <w:rsid w:val="00D93360"/>
    <w:rsid w:val="00DA6A12"/>
    <w:rsid w:val="00DF3300"/>
    <w:rsid w:val="00E16B69"/>
    <w:rsid w:val="00E406EC"/>
    <w:rsid w:val="00E43C50"/>
    <w:rsid w:val="00E66789"/>
    <w:rsid w:val="00E7165E"/>
    <w:rsid w:val="00E72E77"/>
    <w:rsid w:val="00ED167C"/>
    <w:rsid w:val="00EE204E"/>
    <w:rsid w:val="00EE2E93"/>
    <w:rsid w:val="00F05794"/>
    <w:rsid w:val="00F10036"/>
    <w:rsid w:val="00F15FD7"/>
    <w:rsid w:val="00F278A5"/>
    <w:rsid w:val="00F375C4"/>
    <w:rsid w:val="00F45DDC"/>
    <w:rsid w:val="00F5265D"/>
    <w:rsid w:val="00F52D24"/>
    <w:rsid w:val="00F5789F"/>
    <w:rsid w:val="00F61BED"/>
    <w:rsid w:val="00F70766"/>
    <w:rsid w:val="00F712E1"/>
    <w:rsid w:val="00F9247D"/>
    <w:rsid w:val="00FA4ED4"/>
    <w:rsid w:val="00FA63C3"/>
    <w:rsid w:val="00FB1543"/>
    <w:rsid w:val="00FC025F"/>
    <w:rsid w:val="00FE0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7B25"/>
  <w15:chartTrackingRefBased/>
  <w15:docId w15:val="{D4FC566B-51B5-4AF0-BB52-5A54192E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D1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D1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167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167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167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D167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167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167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167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167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D167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D167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D167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D167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D167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167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167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167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D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167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167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167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167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167C"/>
    <w:rPr>
      <w:i/>
      <w:iCs/>
      <w:color w:val="404040" w:themeColor="text1" w:themeTint="BF"/>
    </w:rPr>
  </w:style>
  <w:style w:type="paragraph" w:styleId="Paragrafoelenco">
    <w:name w:val="List Paragraph"/>
    <w:aliases w:val="EL Paragrafo elenco,Paragrafo elenco puntato,List Bulletized,Normal bullet 2,Bullet list,Numbered List,Elenco num ARGEA,Titolo linee di attività,Table of contents numbered,Yellow Bullet,Paragraph,Citation List,Heading 2_sj,lp1"/>
    <w:basedOn w:val="Normale"/>
    <w:link w:val="ParagrafoelencoCarattere"/>
    <w:uiPriority w:val="34"/>
    <w:qFormat/>
    <w:rsid w:val="00ED167C"/>
    <w:pPr>
      <w:ind w:left="720"/>
      <w:contextualSpacing/>
    </w:pPr>
  </w:style>
  <w:style w:type="character" w:styleId="Enfasiintensa">
    <w:name w:val="Intense Emphasis"/>
    <w:basedOn w:val="Carpredefinitoparagrafo"/>
    <w:uiPriority w:val="21"/>
    <w:qFormat/>
    <w:rsid w:val="00ED167C"/>
    <w:rPr>
      <w:i/>
      <w:iCs/>
      <w:color w:val="0F4761" w:themeColor="accent1" w:themeShade="BF"/>
    </w:rPr>
  </w:style>
  <w:style w:type="paragraph" w:styleId="Citazioneintensa">
    <w:name w:val="Intense Quote"/>
    <w:basedOn w:val="Normale"/>
    <w:next w:val="Normale"/>
    <w:link w:val="CitazioneintensaCarattere"/>
    <w:uiPriority w:val="30"/>
    <w:qFormat/>
    <w:rsid w:val="00ED1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167C"/>
    <w:rPr>
      <w:i/>
      <w:iCs/>
      <w:color w:val="0F4761" w:themeColor="accent1" w:themeShade="BF"/>
    </w:rPr>
  </w:style>
  <w:style w:type="character" w:styleId="Riferimentointenso">
    <w:name w:val="Intense Reference"/>
    <w:basedOn w:val="Carpredefinitoparagrafo"/>
    <w:uiPriority w:val="32"/>
    <w:qFormat/>
    <w:rsid w:val="00ED167C"/>
    <w:rPr>
      <w:b/>
      <w:bCs/>
      <w:smallCaps/>
      <w:color w:val="0F4761" w:themeColor="accent1" w:themeShade="BF"/>
      <w:spacing w:val="5"/>
    </w:rPr>
  </w:style>
  <w:style w:type="paragraph" w:styleId="Intestazione">
    <w:name w:val="header"/>
    <w:basedOn w:val="Normale"/>
    <w:link w:val="IntestazioneCarattere"/>
    <w:uiPriority w:val="99"/>
    <w:unhideWhenUsed/>
    <w:rsid w:val="0027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6A95"/>
  </w:style>
  <w:style w:type="paragraph" w:styleId="Pidipagina">
    <w:name w:val="footer"/>
    <w:basedOn w:val="Normale"/>
    <w:link w:val="PidipaginaCarattere"/>
    <w:uiPriority w:val="99"/>
    <w:unhideWhenUsed/>
    <w:rsid w:val="0027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6A95"/>
  </w:style>
  <w:style w:type="character" w:customStyle="1" w:styleId="ParagrafoelencoCarattere">
    <w:name w:val="Paragrafo elenco Carattere"/>
    <w:aliases w:val="EL Paragrafo elenco Carattere,Paragrafo elenco puntato Carattere,List Bulletized Carattere,Normal bullet 2 Carattere,Bullet list Carattere,Numbered List Carattere,Elenco num ARGEA Carattere,Titolo linee di attività Carattere"/>
    <w:basedOn w:val="Carpredefinitoparagrafo"/>
    <w:link w:val="Paragrafoelenco"/>
    <w:uiPriority w:val="34"/>
    <w:qFormat/>
    <w:rsid w:val="008F32AB"/>
  </w:style>
  <w:style w:type="paragraph" w:styleId="Rientrocorpodeltesto2">
    <w:name w:val="Body Text Indent 2"/>
    <w:basedOn w:val="Normale"/>
    <w:link w:val="Rientrocorpodeltesto2Carattere"/>
    <w:uiPriority w:val="99"/>
    <w:unhideWhenUsed/>
    <w:rsid w:val="002B1FBF"/>
    <w:pPr>
      <w:autoSpaceDE w:val="0"/>
      <w:autoSpaceDN w:val="0"/>
      <w:adjustRightInd w:val="0"/>
      <w:ind w:left="426"/>
      <w:jc w:val="both"/>
    </w:pPr>
    <w:rPr>
      <w:rFonts w:ascii="Garamond" w:hAnsi="Garamond"/>
      <w:i/>
      <w:color w:val="FF0000"/>
      <w:kern w:val="0"/>
      <w14:ligatures w14:val="none"/>
    </w:rPr>
  </w:style>
  <w:style w:type="character" w:customStyle="1" w:styleId="Rientrocorpodeltesto2Carattere">
    <w:name w:val="Rientro corpo del testo 2 Carattere"/>
    <w:basedOn w:val="Carpredefinitoparagrafo"/>
    <w:link w:val="Rientrocorpodeltesto2"/>
    <w:uiPriority w:val="99"/>
    <w:rsid w:val="002B1FBF"/>
    <w:rPr>
      <w:rFonts w:ascii="Garamond" w:hAnsi="Garamond"/>
      <w:i/>
      <w:color w:val="FF0000"/>
      <w:kern w:val="0"/>
      <w14:ligatures w14:val="none"/>
    </w:rPr>
  </w:style>
  <w:style w:type="paragraph" w:customStyle="1" w:styleId="ProvinciaTesto">
    <w:name w:val="Provincia_Testo"/>
    <w:basedOn w:val="Normale"/>
    <w:rsid w:val="003F3D94"/>
    <w:pPr>
      <w:spacing w:after="0" w:line="240" w:lineRule="auto"/>
      <w:ind w:left="567"/>
      <w:jc w:val="both"/>
    </w:pPr>
    <w:rPr>
      <w:rFonts w:ascii="Garamond" w:eastAsia="Calibri" w:hAnsi="Garamond" w:cs="Times New Roman"/>
      <w:kern w:val="0"/>
      <w:sz w:val="24"/>
      <w14:ligatures w14:val="none"/>
    </w:rPr>
  </w:style>
  <w:style w:type="paragraph" w:styleId="Nessunaspaziatura">
    <w:name w:val="No Spacing"/>
    <w:uiPriority w:val="1"/>
    <w:qFormat/>
    <w:rsid w:val="00EE204E"/>
    <w:pPr>
      <w:spacing w:after="0" w:line="240" w:lineRule="auto"/>
    </w:pPr>
    <w:rPr>
      <w:kern w:val="0"/>
      <w14:ligatures w14:val="none"/>
    </w:rPr>
  </w:style>
  <w:style w:type="table" w:customStyle="1" w:styleId="TableGrid">
    <w:name w:val="TableGrid"/>
    <w:rsid w:val="00F375C4"/>
    <w:pPr>
      <w:spacing w:after="0" w:line="240" w:lineRule="auto"/>
    </w:pPr>
    <w:rPr>
      <w:rFonts w:eastAsiaTheme="minorEastAsia"/>
      <w:kern w:val="0"/>
      <w:lang w:eastAsia="it-IT"/>
      <w14:ligatures w14:val="none"/>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F52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52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F5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EEE"/>
    <w:pPr>
      <w:autoSpaceDE w:val="0"/>
      <w:autoSpaceDN w:val="0"/>
      <w:adjustRightInd w:val="0"/>
      <w:spacing w:after="0" w:line="240" w:lineRule="auto"/>
    </w:pPr>
    <w:rPr>
      <w:rFonts w:ascii="Aptos" w:hAnsi="Aptos" w:cs="Aptos"/>
      <w:color w:val="000000"/>
      <w:kern w:val="0"/>
      <w:sz w:val="24"/>
      <w:szCs w:val="24"/>
    </w:rPr>
  </w:style>
  <w:style w:type="table" w:customStyle="1" w:styleId="Grigliatabella3">
    <w:name w:val="Griglia tabella3"/>
    <w:basedOn w:val="Tabellanormale"/>
    <w:next w:val="Grigliatabella"/>
    <w:uiPriority w:val="39"/>
    <w:rsid w:val="008464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8148">
      <w:bodyDiv w:val="1"/>
      <w:marLeft w:val="0"/>
      <w:marRight w:val="0"/>
      <w:marTop w:val="0"/>
      <w:marBottom w:val="0"/>
      <w:divBdr>
        <w:top w:val="none" w:sz="0" w:space="0" w:color="auto"/>
        <w:left w:val="none" w:sz="0" w:space="0" w:color="auto"/>
        <w:bottom w:val="none" w:sz="0" w:space="0" w:color="auto"/>
        <w:right w:val="none" w:sz="0" w:space="0" w:color="auto"/>
      </w:divBdr>
    </w:div>
    <w:div w:id="150607360">
      <w:bodyDiv w:val="1"/>
      <w:marLeft w:val="0"/>
      <w:marRight w:val="0"/>
      <w:marTop w:val="0"/>
      <w:marBottom w:val="0"/>
      <w:divBdr>
        <w:top w:val="none" w:sz="0" w:space="0" w:color="auto"/>
        <w:left w:val="none" w:sz="0" w:space="0" w:color="auto"/>
        <w:bottom w:val="none" w:sz="0" w:space="0" w:color="auto"/>
        <w:right w:val="none" w:sz="0" w:space="0" w:color="auto"/>
      </w:divBdr>
    </w:div>
    <w:div w:id="394744810">
      <w:bodyDiv w:val="1"/>
      <w:marLeft w:val="0"/>
      <w:marRight w:val="0"/>
      <w:marTop w:val="0"/>
      <w:marBottom w:val="0"/>
      <w:divBdr>
        <w:top w:val="none" w:sz="0" w:space="0" w:color="auto"/>
        <w:left w:val="none" w:sz="0" w:space="0" w:color="auto"/>
        <w:bottom w:val="none" w:sz="0" w:space="0" w:color="auto"/>
        <w:right w:val="none" w:sz="0" w:space="0" w:color="auto"/>
      </w:divBdr>
    </w:div>
    <w:div w:id="818503236">
      <w:bodyDiv w:val="1"/>
      <w:marLeft w:val="0"/>
      <w:marRight w:val="0"/>
      <w:marTop w:val="0"/>
      <w:marBottom w:val="0"/>
      <w:divBdr>
        <w:top w:val="none" w:sz="0" w:space="0" w:color="auto"/>
        <w:left w:val="none" w:sz="0" w:space="0" w:color="auto"/>
        <w:bottom w:val="none" w:sz="0" w:space="0" w:color="auto"/>
        <w:right w:val="none" w:sz="0" w:space="0" w:color="auto"/>
      </w:divBdr>
    </w:div>
    <w:div w:id="1562982082">
      <w:bodyDiv w:val="1"/>
      <w:marLeft w:val="0"/>
      <w:marRight w:val="0"/>
      <w:marTop w:val="0"/>
      <w:marBottom w:val="0"/>
      <w:divBdr>
        <w:top w:val="none" w:sz="0" w:space="0" w:color="auto"/>
        <w:left w:val="none" w:sz="0" w:space="0" w:color="auto"/>
        <w:bottom w:val="none" w:sz="0" w:space="0" w:color="auto"/>
        <w:right w:val="none" w:sz="0" w:space="0" w:color="auto"/>
      </w:divBdr>
    </w:div>
    <w:div w:id="1788087187">
      <w:bodyDiv w:val="1"/>
      <w:marLeft w:val="0"/>
      <w:marRight w:val="0"/>
      <w:marTop w:val="0"/>
      <w:marBottom w:val="0"/>
      <w:divBdr>
        <w:top w:val="none" w:sz="0" w:space="0" w:color="auto"/>
        <w:left w:val="none" w:sz="0" w:space="0" w:color="auto"/>
        <w:bottom w:val="none" w:sz="0" w:space="0" w:color="auto"/>
        <w:right w:val="none" w:sz="0" w:space="0" w:color="auto"/>
      </w:divBdr>
    </w:div>
    <w:div w:id="1789276026">
      <w:bodyDiv w:val="1"/>
      <w:marLeft w:val="0"/>
      <w:marRight w:val="0"/>
      <w:marTop w:val="0"/>
      <w:marBottom w:val="0"/>
      <w:divBdr>
        <w:top w:val="none" w:sz="0" w:space="0" w:color="auto"/>
        <w:left w:val="none" w:sz="0" w:space="0" w:color="auto"/>
        <w:bottom w:val="none" w:sz="0" w:space="0" w:color="auto"/>
        <w:right w:val="none" w:sz="0" w:space="0" w:color="auto"/>
      </w:divBdr>
    </w:div>
    <w:div w:id="20804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genas.gov.it/images/Decreto_MEF_23nov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nas.gov.it/images/Decreto_MEF_23nov_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nas.gov.it/images/Decreto_MEF_6_agosto_202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genas.gov.it/images/Decreto_MEF_6_agosto_20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9E90-94C5-4400-BA69-9564A0CB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12385</Words>
  <Characters>70595</Characters>
  <Application>Microsoft Office Word</Application>
  <DocSecurity>0</DocSecurity>
  <Lines>588</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Coviello Nicola</dc:creator>
  <cp:keywords/>
  <dc:description/>
  <cp:lastModifiedBy>Stigliano Marco</cp:lastModifiedBy>
  <cp:revision>11</cp:revision>
  <cp:lastPrinted>2025-02-14T12:47:00Z</cp:lastPrinted>
  <dcterms:created xsi:type="dcterms:W3CDTF">2025-02-18T08:50:00Z</dcterms:created>
  <dcterms:modified xsi:type="dcterms:W3CDTF">2025-02-18T09:55:00Z</dcterms:modified>
</cp:coreProperties>
</file>